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77193"/>
      <w:bookmarkStart w:id="4" w:name="_Toc15378441"/>
      <w:bookmarkStart w:id="5" w:name="_Toc15396475"/>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黑体" w:hAnsi="黑体" w:eastAsia="黑体"/>
          <w:color w:val="000000"/>
          <w:sz w:val="72"/>
          <w:szCs w:val="72"/>
        </w:rPr>
      </w:pPr>
      <w:bookmarkStart w:id="6" w:name="_Toc15396598"/>
      <w:bookmarkStart w:id="7" w:name="_Toc15377426"/>
      <w:bookmarkStart w:id="8" w:name="_Toc15396476"/>
      <w:bookmarkStart w:id="9" w:name="_Toc15377194"/>
      <w:bookmarkStart w:id="10" w:name="_Toc15378442"/>
      <w:r>
        <w:rPr>
          <w:rFonts w:hint="eastAsia" w:ascii="黑体" w:hAnsi="黑体" w:eastAsia="黑体"/>
          <w:color w:val="000000"/>
          <w:sz w:val="72"/>
          <w:szCs w:val="72"/>
        </w:rPr>
        <w:t>四川省广元市</w:t>
      </w:r>
      <w:bookmarkEnd w:id="0"/>
      <w:bookmarkStart w:id="11" w:name="_Toc15306268"/>
    </w:p>
    <w:p>
      <w:pPr>
        <w:adjustRightInd w:val="0"/>
        <w:snapToGrid w:val="0"/>
        <w:spacing w:line="360" w:lineRule="auto"/>
        <w:jc w:val="center"/>
        <w:outlineLvl w:val="0"/>
        <w:rPr>
          <w:rFonts w:hint="eastAsia" w:ascii="黑体" w:hAnsi="黑体" w:eastAsia="黑体"/>
          <w:color w:val="000000"/>
          <w:sz w:val="72"/>
          <w:szCs w:val="72"/>
        </w:rPr>
      </w:pPr>
      <w:r>
        <w:rPr>
          <w:rFonts w:hint="eastAsia" w:ascii="黑体" w:hAnsi="黑体" w:eastAsia="黑体"/>
          <w:color w:val="000000"/>
          <w:sz w:val="72"/>
          <w:szCs w:val="72"/>
          <w:lang w:eastAsia="zh-CN"/>
        </w:rPr>
        <w:t>城乡规划局</w:t>
      </w:r>
      <w:r>
        <w:rPr>
          <w:rFonts w:hint="eastAsia" w:ascii="黑体" w:hAnsi="黑体" w:eastAsia="黑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编</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制</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说</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明</w:t>
      </w:r>
    </w:p>
    <w:p>
      <w:pPr>
        <w:widowControl/>
        <w:jc w:val="center"/>
        <w:rPr>
          <w:rFonts w:hint="eastAsia" w:ascii="黑体" w:hAnsi="黑体" w:eastAsia="黑体"/>
          <w:color w:val="000000"/>
          <w:sz w:val="48"/>
          <w:szCs w:val="48"/>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公开时间：2019年9月</w:t>
      </w:r>
      <w:r>
        <w:rPr>
          <w:rFonts w:hint="eastAsia"/>
          <w:lang w:val="en-US" w:eastAsia="zh-CN"/>
        </w:rPr>
        <w:t>18</w:t>
      </w:r>
      <w:r>
        <w:rPr>
          <w:rFonts w:hint="eastAsia"/>
        </w:rPr>
        <w:t>日</w:t>
      </w:r>
    </w:p>
    <w:p/>
    <w:p>
      <w:pPr>
        <w:pStyle w:val="10"/>
        <w:rPr>
          <w:rFonts w:cs="黑体"/>
        </w:rPr>
      </w:pPr>
      <w:r>
        <w:fldChar w:fldCharType="begin"/>
      </w:r>
      <w:r>
        <w:instrText xml:space="preserve">HYPERLINK  \l "_Toc15396599" </w:instrText>
      </w:r>
      <w:r>
        <w:fldChar w:fldCharType="separate"/>
      </w:r>
      <w:r>
        <w:rPr>
          <w:rStyle w:val="17"/>
          <w:rFonts w:hint="eastAsia"/>
        </w:rPr>
        <w:t>第一部分部门概况</w:t>
      </w:r>
      <w:r>
        <w:tab/>
      </w:r>
      <w:r>
        <w:rPr>
          <w:rFonts w:hint="eastAsia"/>
          <w:lang w:val="en-US" w:eastAsia="zh-CN"/>
        </w:rPr>
        <w:t>3</w:t>
      </w:r>
      <w:r>
        <w:fldChar w:fldCharType="end"/>
      </w:r>
    </w:p>
    <w:p>
      <w:pPr>
        <w:pStyle w:val="11"/>
        <w:rPr>
          <w:rFonts w:ascii="仿宋" w:hAnsi="仿宋" w:eastAsia="仿宋" w:cs="黑体"/>
          <w:sz w:val="28"/>
          <w:szCs w:val="28"/>
        </w:rPr>
      </w:pPr>
      <w:r>
        <w:fldChar w:fldCharType="begin"/>
      </w:r>
      <w:r>
        <w:instrText xml:space="preserve">HYPERLINK  \l "_Toc15396600" </w:instrText>
      </w:r>
      <w: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lang w:val="en-US" w:eastAsia="zh-CN"/>
        </w:rPr>
        <w:t>3</w:t>
      </w:r>
      <w:r>
        <w:fldChar w:fldCharType="end"/>
      </w:r>
    </w:p>
    <w:p>
      <w:pPr>
        <w:pStyle w:val="11"/>
        <w:rPr>
          <w:rFonts w:ascii="仿宋" w:hAnsi="仿宋" w:eastAsia="仿宋" w:cs="黑体"/>
          <w:sz w:val="28"/>
          <w:szCs w:val="28"/>
        </w:rPr>
      </w:pPr>
      <w:r>
        <w:fldChar w:fldCharType="begin"/>
      </w:r>
      <w:r>
        <w:instrText xml:space="preserve">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8</w:t>
      </w:r>
      <w:r>
        <w:fldChar w:fldCharType="end"/>
      </w:r>
    </w:p>
    <w:p>
      <w:pPr>
        <w:pStyle w:val="1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HYPERLINK  \l "_Toc15396602"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第二部分 2018年度部门决算情况说明</w:t>
      </w:r>
      <w:r>
        <w:rPr>
          <w:rFonts w:hint="eastAsia" w:ascii="仿宋" w:hAnsi="仿宋" w:eastAsia="仿宋" w:cs="Times New Roman"/>
          <w:kern w:val="2"/>
          <w:sz w:val="28"/>
          <w:szCs w:val="28"/>
          <w:lang w:val="en-US" w:eastAsia="zh-CN" w:bidi="ar-SA"/>
        </w:rPr>
        <w:tab/>
      </w:r>
      <w:r>
        <w:rPr>
          <w:rFonts w:hint="eastAsia" w:cs="Times New Roman"/>
          <w:kern w:val="2"/>
          <w:sz w:val="28"/>
          <w:szCs w:val="28"/>
          <w:lang w:val="en-US" w:eastAsia="zh-CN" w:bidi="ar-SA"/>
        </w:rPr>
        <w:t>9</w:t>
      </w:r>
      <w:r>
        <w:rPr>
          <w:rFonts w:hint="eastAsia" w:ascii="仿宋" w:hAnsi="仿宋" w:eastAsia="仿宋" w:cs="Times New Roman"/>
          <w:kern w:val="2"/>
          <w:sz w:val="28"/>
          <w:szCs w:val="28"/>
          <w:lang w:val="en-US" w:eastAsia="zh-CN" w:bidi="ar-SA"/>
        </w:rPr>
        <w:fldChar w:fldCharType="end"/>
      </w:r>
    </w:p>
    <w:p>
      <w:pPr>
        <w:pStyle w:val="11"/>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HYPERLINK  \l "_Toc15396603"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一、收入支出决算总体情况说明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9</w:t>
      </w:r>
    </w:p>
    <w:p>
      <w:pPr>
        <w:pStyle w:val="11"/>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HYPERLINK  \l "_Toc15396604"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二、收入决算情况说明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9</w:t>
      </w:r>
    </w:p>
    <w:p>
      <w:pPr>
        <w:pStyle w:val="11"/>
        <w:rPr>
          <w:rFonts w:ascii="仿宋" w:hAnsi="仿宋" w:eastAsia="仿宋" w:cs="黑体"/>
          <w:sz w:val="28"/>
          <w:szCs w:val="28"/>
        </w:rPr>
      </w:pP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HYPERLINK  \l "_Toc15396605"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三、支出决算情况说明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9</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"_Toc15396606"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四、财政拨款收入支出决算总体情况说明</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9</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"_Toc15396607"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五、一般公共预算财政拨款支出决算情况说明</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10</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"_Toc15396608"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六、一般公共预算财政拨款基本支出决算情况说明</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"_Toc15396609"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七、</w:t>
      </w:r>
      <w:r>
        <w:rPr>
          <w:rFonts w:ascii="仿宋" w:hAnsi="仿宋"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三公”经费财政拨款支出决算情况说明</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"_Toc15396610"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八、政府性基金预算支出决算情况说明</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3</w:t>
      </w:r>
    </w:p>
    <w:p>
      <w:pPr>
        <w:pStyle w:val="11"/>
        <w:rPr>
          <w:rFonts w:hint="eastAsia"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"_Toc15396611"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九、 国有资本经营预算支出决算情况说明</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3</w:t>
      </w:r>
    </w:p>
    <w:p>
      <w:pPr>
        <w:pStyle w:val="1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"_Toc15396613"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十、 预算绩效情况说明</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 PAGEREF _Toc15396613 \h </w:instrText>
      </w:r>
      <w:r>
        <w:rPr>
          <w:rFonts w:ascii="仿宋" w:hAnsi="仿宋" w:eastAsia="仿宋" w:cs="Times New Roman"/>
          <w:kern w:val="2"/>
          <w:sz w:val="28"/>
          <w:szCs w:val="28"/>
          <w:lang w:val="en-US" w:eastAsia="zh-CN" w:bidi="ar-SA"/>
        </w:rPr>
        <w:fldChar w:fldCharType="separate"/>
      </w:r>
      <w:r>
        <w:rPr>
          <w:rFonts w:ascii="仿宋" w:hAnsi="仿宋" w:eastAsia="仿宋" w:cs="Times New Roman"/>
          <w:kern w:val="2"/>
          <w:sz w:val="28"/>
          <w:szCs w:val="28"/>
          <w:lang w:val="en-US" w:eastAsia="zh-CN" w:bidi="ar-SA"/>
        </w:rPr>
        <w:t>1</w:t>
      </w:r>
      <w:r>
        <w:rPr>
          <w:rFonts w:hint="eastAsia" w:cs="Times New Roman"/>
          <w:kern w:val="2"/>
          <w:sz w:val="28"/>
          <w:szCs w:val="28"/>
          <w:lang w:val="en-US" w:eastAsia="zh-CN" w:bidi="ar-SA"/>
        </w:rPr>
        <w:t>3</w:t>
      </w:r>
      <w:r>
        <w:rPr>
          <w:rFonts w:ascii="仿宋" w:hAnsi="仿宋" w:eastAsia="仿宋" w:cs="Times New Roman"/>
          <w:kern w:val="2"/>
          <w:sz w:val="28"/>
          <w:szCs w:val="28"/>
          <w:lang w:val="en-US" w:eastAsia="zh-CN" w:bidi="ar-SA"/>
        </w:rPr>
        <w:fldChar w:fldCharType="end"/>
      </w:r>
      <w:r>
        <w:rPr>
          <w:rFonts w:ascii="仿宋" w:hAnsi="仿宋" w:eastAsia="仿宋" w:cs="Times New Roman"/>
          <w:kern w:val="2"/>
          <w:sz w:val="28"/>
          <w:szCs w:val="28"/>
          <w:lang w:val="en-US" w:eastAsia="zh-CN" w:bidi="ar-SA"/>
        </w:rPr>
        <w:fldChar w:fldCharType="end"/>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"_Toc15396612"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十一、其他重要事项的情况说明</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0"/>
        <w:rPr>
          <w:rFonts w:cs="黑体"/>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"_Toc15396613"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第三部分 名词解释</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19</w:t>
      </w:r>
    </w:p>
    <w:p>
      <w:pPr>
        <w:pStyle w:val="10"/>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"_Toc15396614"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第四部分附件</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0"/>
        <w:rPr>
          <w:rFonts w:ascii="仿宋" w:hAnsi="仿宋" w:eastAsia="仿宋" w:cs="黑体"/>
          <w:sz w:val="28"/>
          <w:szCs w:val="28"/>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"_Toc15396615"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附件</w:t>
      </w:r>
      <w:r>
        <w:rPr>
          <w:rFonts w:ascii="仿宋" w:hAnsi="仿宋" w:eastAsia="仿宋" w:cs="Times New Roman"/>
          <w:kern w:val="2"/>
          <w:sz w:val="28"/>
          <w:szCs w:val="28"/>
          <w:lang w:val="en-US" w:eastAsia="zh-CN" w:bidi="ar-SA"/>
        </w:rPr>
        <w:t>1</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"_Toc15396617"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附件</w:t>
      </w:r>
      <w:r>
        <w:rPr>
          <w:rFonts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5</w:t>
      </w:r>
    </w:p>
    <w:p>
      <w:pPr>
        <w:pStyle w:val="10"/>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"_Toc15396618"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第五部分附表</w:t>
      </w:r>
      <w:r>
        <w:rPr>
          <w:rFonts w:ascii="仿宋" w:hAnsi="仿宋" w:eastAsia="仿宋" w:cs="Times New Roman"/>
          <w:kern w:val="2"/>
          <w:sz w:val="28"/>
          <w:szCs w:val="28"/>
          <w:lang w:val="en-US" w:eastAsia="zh-CN" w:bidi="ar-SA"/>
        </w:rPr>
        <w:tab/>
      </w:r>
      <w:r>
        <w:rPr>
          <w:rFonts w:hint="eastAsia"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"_Toc15396619"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收入支出决算总表</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 PAGEREF _Toc15396619 \h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2</w:t>
      </w:r>
      <w:r>
        <w:rPr>
          <w:rFonts w:hint="eastAsia" w:cs="Times New Roman"/>
          <w:kern w:val="2"/>
          <w:sz w:val="28"/>
          <w:szCs w:val="28"/>
          <w:lang w:val="en-US" w:eastAsia="zh-CN" w:bidi="ar-SA"/>
        </w:rPr>
        <w:t>8</w:t>
      </w:r>
      <w:r>
        <w:rPr>
          <w:rFonts w:ascii="仿宋" w:hAnsi="仿宋" w:eastAsia="仿宋" w:cs="Times New Roman"/>
          <w:kern w:val="2"/>
          <w:sz w:val="28"/>
          <w:szCs w:val="28"/>
          <w:lang w:val="en-US" w:eastAsia="zh-CN" w:bidi="ar-SA"/>
        </w:rPr>
        <w:fldChar w:fldCharType="end"/>
      </w:r>
      <w:r>
        <w:rPr>
          <w:rFonts w:ascii="仿宋" w:hAnsi="仿宋" w:eastAsia="仿宋" w:cs="Times New Roman"/>
          <w:kern w:val="2"/>
          <w:sz w:val="28"/>
          <w:szCs w:val="28"/>
          <w:lang w:val="en-US" w:eastAsia="zh-CN" w:bidi="ar-SA"/>
        </w:rPr>
        <w:fldChar w:fldCharType="end"/>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"_Toc15396620"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收入总表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"_Toc15396621"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支出总表</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 PAGEREF _Toc15396621 \h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"_Toc15396622"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财政拨款收入支出决算总表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"_Toc15396623"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财政拨款支出决算明细表（政府经济分类科目）</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"_Toc15396624"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一般公共预算财政拨款支出决算表</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28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"_Toc15396625"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一般公共预算财政拨款支出决算明细表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"_Toc15396626"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一般公共预算财政拨款基本支出决算表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"_Toc15396627"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一般公共预算财政拨款项目支出决算表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"_Toc15396628"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一般公共预算财政拨款“三公”经费支出决算表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十一、</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"_Toc15396629"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政府性基金预算财政拨款收入支出决算表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十二、</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"_Toc15396630"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政府性基金预算财政拨款“三公”经费支出决算表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黑体"/>
          <w:sz w:val="24"/>
        </w:rPr>
      </w:pPr>
      <w:r>
        <w:rPr>
          <w:rFonts w:hint="eastAsia" w:ascii="仿宋" w:hAnsi="仿宋" w:eastAsia="仿宋" w:cs="Times New Roman"/>
          <w:kern w:val="2"/>
          <w:sz w:val="28"/>
          <w:szCs w:val="28"/>
          <w:lang w:val="en-US" w:eastAsia="zh-CN" w:bidi="ar-SA"/>
        </w:rPr>
        <w:t>十三、</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"_Toc15396631"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国有资本经营预算支出决算表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
        </w:rPr>
      </w:pPr>
      <w:bookmarkStart w:id="12" w:name="_Toc15377196"/>
      <w:bookmarkStart w:id="13" w:name="_Toc15396599"/>
      <w:r>
        <w:rPr>
          <w:rFonts w:ascii="黑体" w:hAnsi="黑体" w:eastAsia="黑体"/>
          <w:b/>
        </w:rPr>
        <w:br w:type="page"/>
      </w:r>
    </w:p>
    <w:p>
      <w:pPr>
        <w:widowControl/>
        <w:jc w:val="left"/>
        <w:rPr>
          <w:rFonts w:ascii="黑体" w:hAnsi="黑体" w:eastAsia="黑体"/>
          <w:b/>
        </w:rPr>
      </w:pPr>
    </w:p>
    <w:p>
      <w:pPr>
        <w:pStyle w:val="2"/>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8"/>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（一）主要职能。（职能参照批准的三定方案）</w:t>
      </w:r>
      <w:bookmarkEnd w:id="16"/>
      <w:bookmarkEnd w:id="17"/>
    </w:p>
    <w:p>
      <w:pPr>
        <w:pStyle w:val="5"/>
        <w:adjustRightInd w:val="0"/>
        <w:snapToGrid w:val="0"/>
        <w:spacing w:before="0" w:beforeLines="0" w:line="560" w:lineRule="exact"/>
        <w:ind w:firstLine="672" w:firstLineChars="210"/>
        <w:rPr>
          <w:rFonts w:hint="eastAsia"/>
          <w:color w:val="000000"/>
          <w:sz w:val="32"/>
          <w:szCs w:val="32"/>
        </w:rPr>
      </w:pPr>
      <w:r>
        <w:rPr>
          <w:rFonts w:hint="eastAsia"/>
          <w:color w:val="000000"/>
          <w:sz w:val="32"/>
          <w:szCs w:val="32"/>
        </w:rPr>
        <w:t>贯彻执行国家有关城乡规划、城市可持续发展的法律、法规和方针、政策;负责全市城乡规划管理工作;起草城乡规划的规范性文件并组织实施;依法公布、公示、公开城乡规划的有关事项。</w:t>
      </w:r>
    </w:p>
    <w:p>
      <w:pPr>
        <w:pStyle w:val="5"/>
        <w:adjustRightInd w:val="0"/>
        <w:snapToGrid w:val="0"/>
        <w:spacing w:before="0" w:beforeLines="0" w:line="560" w:lineRule="exact"/>
        <w:rPr>
          <w:rFonts w:hint="eastAsia" w:ascii="仿宋" w:hAnsi="仿宋" w:eastAsia="仿宋"/>
          <w:bCs/>
          <w:color w:val="000000"/>
          <w:sz w:val="32"/>
          <w:szCs w:val="32"/>
        </w:rPr>
      </w:pPr>
      <w:r>
        <w:rPr>
          <w:rFonts w:hint="eastAsia"/>
          <w:color w:val="000000"/>
          <w:sz w:val="32"/>
          <w:szCs w:val="32"/>
        </w:rPr>
        <w:t>承办城市总体规划的编制、修改和报批的具体工作;组织制定、修改近期建设规划并报总体规划审批机关备案;组织编制城市控制性详细规划、重要地块的修建性详细规划;会同有关部门编制各类专项规划;负责城市雕塑和户外广告规划及技术标准的编制管理工作;负责市级以上开发区、自然保护区、风景名胜保护区和森林公园总体规划及控制性详细规划编制;会同文物主管部门编制、审核历史文化名城、名镇、名村保护规划。参与江河流域规划、区域规划、土地利用总体规划、社会经济发展规划、建设规划和用地规划的制定。负责城市规划区内建设项目的选址定点，依法核发《建设项目选址意见书》和《建设用地规划许可证》，负责提出出让地块的规划条件(含变更)和附图;负责城市规划区内建设工程的规划审批，核发《建设工程规划许可证》;负责城市规划区内建设工程的放线、验线和竣工规划核实工作。负责城市规划区内的乡镇和村庄规划管理工作，依法核发《乡村建设规划许可证》。负责城市规划区内临时建设、临时用地的规划管理工作。负责市城乡规划委员会的日常工作。承担市政府公布的有关行政审批事项。承担市政府交办的其他事项。</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坚持“多规相融”，城乡规划实现“大引领”。按照“以人民为中心”的规划理念和“五位一体”发展战略，统筹各项城乡规划编制工作，多规相融的城乡规划体系基本形成。一是突出“顶层规划”，全面完成了总规、中心城区5大片区控规以及四县总规等法定规划编制。历史文化名城保护规划已经省政府批复同意。二是进一步优化三江新区规划，对标“特区”、“新区”、“强区”建设目标，通过国际招标完成了《广元市三江新区核心区宝轮片区策划及概念规划》设计。突出“精品规划”，完成了美丽旅途、城市双修、轨道交通等18项专项规划和黑臭水体治理（二期）、一环路提升、安全坝无车城、南河片区海绵城市等13项规划设计。三是深度实施“乡村振兴”战略，完成了月坝旅游特色小镇等15个重点镇、鸳溪镇龙回村等29个扶贫村“多规合一”规划编制。全年共组织编制了28项规划设计，全市镇乡总规覆盖率已达96%、城镇控详规覆盖率已达60%，乡村规划覆盖率已达40%。</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坚持精细规划，城乡规划管理实现阳光化。始终按照依法规划、建设、治理城市的要求，强化规划执行力，城乡规划管理已从粗放走向精细。一是规划管理体制进一步理顺。实现了市区高度集中统一管理。按照“全域规划、全域管理”的要求，成立了经开、利州、昭化、朝天四个规划分局，市区一体的规划管理体制高效有序运转。苍溪县、剑阁县已成立规划局，市、县（区）、镇（乡）三级管理体制基本健全。四个县城乡规划督察员已全部派驻到位，乡村规划师已在朝天开展试点，城乡规划督察工作从市延展到村，全年共纠正了6起违法违规行为。二是制度建设显著增强。制订了《广元市城乡规划管理技术规定》等10余项制度，印发了《关于加强乡村历史文化建筑保护的通知》，建立了历史文化名城动态管理机制。进一步优化了规委会审议制度，延伸了专委会审查深度，项目技术审查针对性、时效性明显提升，全年共组织召开了71次专委会，11次规委会，审查、审核450余个选址、规划、建筑、市政及景观方案，同比增长近30%。三是完善了市区一体的城乡规划管理信息平台。全面推行市区一张图和网上并联审批，全年共办理各项规划许可证件282件，项目报件率和办证率达100%。四是克难攻坚“清积案”。为解决历史遗留问题，切实维护群众利益，积极完成江南新城、瑾瑞逸城、星河名珠等项目后续手续办理，成功处置凤琴岚湾、东方盛世等18个信访楼盘群访事件，化解了32家民营企业办证难的问题。五是规划公众参与力度显著增强，在项目规划和制度制订过程中更加注重公众意见，因规划不透明引发的信访问题明显减少。</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着力“要素保障”，项目规划服务取得新突破。统筹助推项目规划、策划、审批，全力服务项目投资，全年全市新增建成区面积5平方公里，中心城区新增2平方公里。一是在服务质效上再提升。落实专人负责中青城投、华侨城、康养产业园、林丰铝业、西部家具产业城、曾家旅游小镇等项目服务，积极促成项目落地。二是在审批时限上再压缩。建立了“容缺后补”机制。在项目缺少非关键性要件时，容许先行办理规划审批，对所缺资料限时补齐。对部分项目在不具备出具正式规划红线图的前提下，根据项目实际情况先行出具规划工作用图，用于开展前期工作，大大节省项目前期工作时间，项目规划审批时限缩减60%。三是在项目谋划策划上再发力。进一步谋划策划了四川广元康养示范产业园区、黑石坡森林公园、川陕苏区红军文化园、烟波坊以及综合管廊、南河片区海绵城市建设等重大基础设施、重大产业配套及文旅康养服务设施项目150个，估算投资近600亿元。</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坚持精准施策，对口帮扶工作取得新成效。对口帮扶苍溪县白鹤乡金谷村（贫困村）和星火村（非贫困村），被评为2017年先进帮扶单位，金谷村被评为“四好村”。一是白鹤乡星火村7户贫困户今年已顺利脱贫，已脱贫75户贫困户得到了巩固提升，金谷村、星火村接受了省脱贫攻坚专项巡视，顺利完成迎检工作。二是组织社会扶贫捐赠资金和争取村道建设资金62万元。硬化了村道5公里，安装了路灯和自来水管道，重新对两村阵地建设进行风貌塑造，指导星火村5户贫困户完成C、D级危房改造，利用城乡用地增减挂钩政策，推动7户村民在聚居点建房。三是助力产业发展，启动星火村50亩黄金梨产业园建设，指导150亩核桃产业园管护升级，免费给村民发放鸡苗2000只、猕猴桃苗架杆1800余根。</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坚持自身建设，干部作风转变取得新成效。全局上下牢固树立“一盘棋”的思想，团队凝聚力和战斗力显著增强。一是深入开展“大学习大讨论大调研”活动，高质量完成了《川陕甘结合部现代化中心城市战略研究》。二是支部战斗堡垒作用更加凸显。局领导班子牢固树立“抓好党建是最大政绩理念”，将业务工作与党建工作同布置同开展。成立了规划局党总支部，下设三个支部，发展4名党员，组织开展了廉政警示教育、“结对共建”、“书香机关·新时代新阅读”、“助农双抢”、“送温暖”等活动10余次，党员理想信念、工作作风、组织纪律明显加强。三是坚持问题导向改作风。聚焦“作风纪律深化年”活动，压实工作责任，实行每月工作清单、成果清单和差错清单进行跟踪考核，严格加强内控管理，印发了严明工作纪律、严控各类经费开支等13项通知制度，机关保障及政务管理工作迈上了新台阶。</w:t>
      </w:r>
    </w:p>
    <w:p>
      <w:pPr>
        <w:pStyle w:val="3"/>
        <w:rPr>
          <w:rStyle w:val="28"/>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广元市城乡规划局下属二级单位</w:t>
      </w:r>
      <w:r>
        <w:rPr>
          <w:rFonts w:hint="eastAsia" w:ascii="仿宋" w:hAnsi="仿宋" w:eastAsia="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rPr>
        <w:t>广元市城乡规划局</w:t>
      </w:r>
      <w:r>
        <w:rPr>
          <w:rFonts w:hint="eastAsia" w:ascii="仿宋" w:hAnsi="仿宋" w:eastAsia="仿宋"/>
          <w:color w:val="000000"/>
          <w:sz w:val="32"/>
          <w:szCs w:val="32"/>
        </w:rPr>
        <w:t>2018年度部门决算编制范围的二级预算单位包括：</w:t>
      </w:r>
      <w:r>
        <w:rPr>
          <w:rFonts w:hint="eastAsia" w:ascii="仿宋" w:hAnsi="仿宋" w:eastAsia="仿宋"/>
          <w:color w:val="000000"/>
          <w:sz w:val="32"/>
          <w:szCs w:val="32"/>
          <w:lang w:eastAsia="zh-CN"/>
        </w:rPr>
        <w:t>无</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pPr>
      <w:bookmarkStart w:id="22" w:name="_Toc15377204"/>
      <w:bookmarkStart w:id="23" w:name="_Toc15396602"/>
      <w:r>
        <w:rPr>
          <w:rFonts w:hint="eastAsia" w:ascii="黑体" w:hAnsi="黑体" w:eastAsia="黑体"/>
          <w:b w:val="0"/>
          <w:color w:val="000000"/>
        </w:rPr>
        <w:t>第二部分</w:t>
      </w:r>
      <w:r>
        <w:rPr>
          <w:rStyle w:val="27"/>
          <w:rFonts w:hint="eastAsia" w:ascii="黑体" w:hAnsi="黑体" w:eastAsia="黑体"/>
          <w:b w:val="0"/>
          <w:bCs w:val="0"/>
        </w:rPr>
        <w:t>2018年度部门决算情况说明</w:t>
      </w:r>
      <w:bookmarkEnd w:id="22"/>
      <w:bookmarkEnd w:id="23"/>
    </w:p>
    <w:p>
      <w:pPr>
        <w:pStyle w:val="19"/>
        <w:numPr>
          <w:ilvl w:val="0"/>
          <w:numId w:val="1"/>
        </w:numPr>
        <w:spacing w:line="600" w:lineRule="exact"/>
        <w:ind w:firstLineChars="0"/>
        <w:outlineLvl w:val="1"/>
        <w:rPr>
          <w:rStyle w:val="28"/>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2018年度收、支总计</w:t>
      </w:r>
      <w:r>
        <w:rPr>
          <w:rFonts w:hint="eastAsia" w:ascii="仿宋" w:hAnsi="仿宋" w:eastAsia="仿宋"/>
          <w:color w:val="000000"/>
          <w:sz w:val="32"/>
          <w:szCs w:val="32"/>
          <w:lang w:val="en-US" w:eastAsia="zh-CN"/>
        </w:rPr>
        <w:t>1120.13</w:t>
      </w:r>
      <w:r>
        <w:rPr>
          <w:rFonts w:hint="eastAsia" w:ascii="仿宋" w:hAnsi="仿宋" w:eastAsia="仿宋"/>
          <w:color w:val="000000"/>
          <w:sz w:val="32"/>
          <w:szCs w:val="32"/>
        </w:rPr>
        <w:t>万元。与2017年相比，收、支总计各增加</w:t>
      </w:r>
      <w:r>
        <w:rPr>
          <w:rFonts w:hint="eastAsia" w:ascii="仿宋" w:hAnsi="仿宋" w:eastAsia="仿宋"/>
          <w:color w:val="000000"/>
          <w:sz w:val="32"/>
          <w:szCs w:val="32"/>
          <w:lang w:val="en-US" w:eastAsia="zh-CN"/>
        </w:rPr>
        <w:t>574.95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105.46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因机构改革，规划设计费由往年下达给市建设局调整下拨至市规划局，下达资金</w:t>
      </w:r>
      <w:r>
        <w:rPr>
          <w:rFonts w:hint="eastAsia" w:ascii="仿宋" w:hAnsi="仿宋" w:eastAsia="仿宋"/>
          <w:color w:val="000000"/>
          <w:sz w:val="32"/>
          <w:szCs w:val="32"/>
          <w:lang w:val="en-US" w:eastAsia="zh-CN"/>
        </w:rPr>
        <w:t>372万元；新增轨道交通规划经费100万元。以上原因导致2018年收支总数较2017年有所上升。</w:t>
      </w:r>
    </w:p>
    <w:p>
      <w:pPr>
        <w:pStyle w:val="19"/>
        <w:numPr>
          <w:ilvl w:val="0"/>
          <w:numId w:val="1"/>
        </w:numPr>
        <w:spacing w:line="600" w:lineRule="exact"/>
        <w:ind w:firstLineChars="0"/>
        <w:outlineLvl w:val="1"/>
        <w:rPr>
          <w:rStyle w:val="28"/>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1013.41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621.29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61.31</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392.12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38.69</w:t>
      </w:r>
      <w:r>
        <w:rPr>
          <w:rFonts w:ascii="仿宋" w:hAnsi="仿宋" w:eastAsia="仿宋"/>
          <w:color w:val="000000"/>
          <w:sz w:val="32"/>
          <w:szCs w:val="32"/>
        </w:rPr>
        <w:t>%</w:t>
      </w:r>
      <w:r>
        <w:rPr>
          <w:rFonts w:hint="eastAsia" w:ascii="仿宋" w:hAnsi="仿宋" w:eastAsia="仿宋"/>
          <w:color w:val="000000"/>
          <w:sz w:val="32"/>
          <w:szCs w:val="32"/>
        </w:rPr>
        <w:t>。</w:t>
      </w:r>
    </w:p>
    <w:p>
      <w:pPr>
        <w:pStyle w:val="19"/>
        <w:numPr>
          <w:ilvl w:val="0"/>
          <w:numId w:val="1"/>
        </w:numPr>
        <w:spacing w:line="600" w:lineRule="exact"/>
        <w:ind w:firstLineChars="0"/>
        <w:outlineLvl w:val="1"/>
        <w:rPr>
          <w:rStyle w:val="28"/>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pPr>
        <w:spacing w:line="600" w:lineRule="exact"/>
        <w:ind w:firstLine="640"/>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545.15</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515.53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94.57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29.62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5.43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8"/>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8年财政拨款收、支总计</w:t>
      </w:r>
      <w:r>
        <w:rPr>
          <w:rFonts w:hint="eastAsia" w:ascii="仿宋" w:hAnsi="仿宋" w:eastAsia="仿宋"/>
          <w:color w:val="000000"/>
          <w:sz w:val="32"/>
          <w:szCs w:val="32"/>
          <w:lang w:val="en-US" w:eastAsia="zh-CN"/>
        </w:rPr>
        <w:t>711.72</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7年相比，财政拨款收、支总计各增加</w:t>
      </w:r>
      <w:r>
        <w:rPr>
          <w:rFonts w:hint="eastAsia" w:ascii="仿宋" w:hAnsi="仿宋" w:eastAsia="仿宋"/>
          <w:color w:val="000000"/>
          <w:sz w:val="32"/>
          <w:szCs w:val="32"/>
          <w:lang w:val="en-US" w:eastAsia="zh-CN"/>
        </w:rPr>
        <w:t>166.57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30.5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因机构改革，规划设计费由往年下市建设局调整下拨至市规划局，下达资金</w:t>
      </w:r>
      <w:r>
        <w:rPr>
          <w:rFonts w:hint="eastAsia" w:ascii="仿宋" w:hAnsi="仿宋" w:eastAsia="仿宋"/>
          <w:color w:val="000000"/>
          <w:sz w:val="32"/>
          <w:szCs w:val="32"/>
          <w:lang w:val="en-US" w:eastAsia="zh-CN"/>
        </w:rPr>
        <w:t>372万元；新增轨道交通规划经费100万元。以上原因导致2018年收支总数较2017年有所上升。</w:t>
      </w:r>
    </w:p>
    <w:p>
      <w:pPr>
        <w:spacing w:line="600" w:lineRule="exact"/>
        <w:ind w:firstLine="640" w:firstLineChars="200"/>
        <w:outlineLvl w:val="1"/>
        <w:rPr>
          <w:rStyle w:val="2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533.53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97.87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7年相比，一般公共预算财政拨款增加</w:t>
      </w:r>
      <w:r>
        <w:rPr>
          <w:rFonts w:hint="eastAsia" w:ascii="仿宋" w:hAnsi="仿宋" w:eastAsia="仿宋"/>
          <w:color w:val="000000"/>
          <w:sz w:val="32"/>
          <w:szCs w:val="32"/>
          <w:lang w:val="en-US" w:eastAsia="zh-CN"/>
        </w:rPr>
        <w:t>109.73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25.89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2017年绩效目标奖金于2018年2月发放，导致2017年无该项资金支出且2018年该项资金支出较高</w:t>
      </w:r>
      <w:r>
        <w:rPr>
          <w:rFonts w:hint="eastAsia" w:ascii="仿宋" w:hAnsi="仿宋" w:eastAsia="仿宋"/>
          <w:color w:val="000000"/>
          <w:sz w:val="32"/>
          <w:szCs w:val="32"/>
          <w:lang w:eastAsia="zh-CN"/>
        </w:rPr>
        <w:t>。</w:t>
      </w:r>
    </w:p>
    <w:p>
      <w:pPr>
        <w:spacing w:line="600" w:lineRule="exact"/>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533.53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39.52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7.4</w:t>
      </w:r>
      <w:r>
        <w:rPr>
          <w:rFonts w:ascii="仿宋" w:hAnsi="仿宋" w:eastAsia="仿宋"/>
          <w:color w:val="000000"/>
          <w:sz w:val="32"/>
          <w:szCs w:val="32"/>
        </w:rPr>
        <w:t>%</w:t>
      </w:r>
      <w:r>
        <w:rPr>
          <w:rFonts w:hint="eastAsia" w:ascii="仿宋" w:hAnsi="仿宋" w:eastAsia="仿宋"/>
          <w:color w:val="000000"/>
          <w:sz w:val="32"/>
          <w:szCs w:val="32"/>
        </w:rPr>
        <w:t>；</w:t>
      </w:r>
      <w:r>
        <w:rPr>
          <w:rStyle w:val="15"/>
          <w:rFonts w:hint="eastAsia" w:ascii="仿宋" w:hAnsi="仿宋" w:eastAsia="仿宋"/>
          <w:bCs/>
          <w:color w:val="000000"/>
          <w:sz w:val="32"/>
          <w:szCs w:val="32"/>
        </w:rPr>
        <w:t>医疗卫生与计划生育（类）</w:t>
      </w:r>
      <w:r>
        <w:rPr>
          <w:rFonts w:hint="eastAsia" w:ascii="仿宋" w:hAnsi="仿宋" w:eastAsia="仿宋"/>
          <w:color w:val="000000"/>
          <w:sz w:val="32"/>
          <w:szCs w:val="32"/>
          <w:lang w:val="en-US" w:eastAsia="zh-CN"/>
        </w:rPr>
        <w:t>14.82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w:t>
      </w:r>
      <w:r>
        <w:rPr>
          <w:rFonts w:ascii="仿宋" w:hAnsi="仿宋" w:eastAsia="仿宋"/>
          <w:color w:val="000000"/>
          <w:sz w:val="32"/>
          <w:szCs w:val="32"/>
        </w:rPr>
        <w:t>%</w:t>
      </w:r>
      <w:r>
        <w:rPr>
          <w:rFonts w:hint="eastAsia" w:ascii="仿宋" w:hAnsi="仿宋" w:eastAsia="仿宋"/>
          <w:color w:val="000000"/>
          <w:sz w:val="32"/>
          <w:szCs w:val="32"/>
        </w:rPr>
        <w:t>；</w:t>
      </w:r>
      <w:r>
        <w:rPr>
          <w:rStyle w:val="15"/>
          <w:rFonts w:hint="eastAsia" w:ascii="仿宋" w:hAnsi="仿宋" w:eastAsia="仿宋"/>
          <w:bCs/>
          <w:color w:val="000000"/>
          <w:sz w:val="32"/>
          <w:szCs w:val="32"/>
        </w:rPr>
        <w:t>城乡社区（类）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442.21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82.89</w:t>
      </w:r>
      <w:r>
        <w:rPr>
          <w:rFonts w:ascii="仿宋" w:hAnsi="仿宋" w:eastAsia="仿宋"/>
          <w:color w:val="000000"/>
          <w:sz w:val="32"/>
          <w:szCs w:val="32"/>
        </w:rPr>
        <w:t>%</w:t>
      </w:r>
      <w:r>
        <w:rPr>
          <w:rFonts w:hint="eastAsia" w:ascii="仿宋" w:hAnsi="仿宋" w:eastAsia="仿宋"/>
          <w:color w:val="000000"/>
          <w:sz w:val="32"/>
          <w:szCs w:val="32"/>
        </w:rPr>
        <w:t>；</w:t>
      </w:r>
      <w:r>
        <w:rPr>
          <w:rStyle w:val="15"/>
          <w:rFonts w:hint="eastAsia" w:ascii="仿宋" w:hAnsi="仿宋" w:eastAsia="仿宋"/>
          <w:bCs/>
          <w:color w:val="000000"/>
          <w:sz w:val="32"/>
          <w:szCs w:val="32"/>
        </w:rPr>
        <w:t>住房保障（类）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36.99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6.91</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sz w:val="32"/>
          <w:szCs w:val="32"/>
        </w:rPr>
        <w:t>2018年般公共预算支出决算数为</w:t>
      </w:r>
      <w:r>
        <w:rPr>
          <w:rFonts w:hint="eastAsia" w:ascii="仿宋" w:hAnsi="仿宋" w:eastAsia="仿宋"/>
          <w:b/>
          <w:color w:val="000000"/>
          <w:sz w:val="32"/>
          <w:szCs w:val="32"/>
          <w:lang w:val="en-US" w:eastAsia="zh-CN"/>
        </w:rPr>
        <w:t>533.53万元</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hint="eastAsia" w:ascii="仿宋" w:hAnsi="仿宋" w:eastAsia="仿宋"/>
          <w:bCs/>
          <w:color w:val="000000"/>
          <w:sz w:val="32"/>
          <w:szCs w:val="32"/>
          <w:lang w:val="en-US" w:eastAsia="zh-CN"/>
        </w:rPr>
        <w:t>85.87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2"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（类）行政事业单位离退休（款）机关事业单位基本养老保险缴费支出（项）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39.52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医疗卫生与计划生育（类）</w:t>
      </w:r>
      <w:r>
        <w:rPr>
          <w:rStyle w:val="15"/>
          <w:rFonts w:hint="eastAsia" w:ascii="仿宋" w:hAnsi="仿宋" w:eastAsia="仿宋"/>
          <w:bCs/>
          <w:color w:val="000000"/>
          <w:sz w:val="32"/>
          <w:szCs w:val="32"/>
          <w:lang w:val="en-US" w:eastAsia="zh-CN"/>
        </w:rPr>
        <w:t>行政事业单位医疗</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事业单位医疗</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14.82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w:t>
      </w:r>
      <w:r>
        <w:rPr>
          <w:rStyle w:val="15"/>
          <w:rFonts w:hint="eastAsia" w:ascii="仿宋" w:hAnsi="仿宋" w:eastAsia="仿宋"/>
          <w:b w:val="0"/>
          <w:bCs/>
          <w:color w:val="000000"/>
          <w:sz w:val="32"/>
          <w:szCs w:val="32"/>
          <w:lang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城乡社区（类）城乡社区规划与管理（款）</w:t>
      </w:r>
      <w:r>
        <w:rPr>
          <w:rStyle w:val="15"/>
          <w:rFonts w:hint="eastAsia" w:ascii="仿宋" w:hAnsi="仿宋" w:eastAsia="仿宋"/>
          <w:bCs/>
          <w:color w:val="000000"/>
          <w:sz w:val="32"/>
          <w:szCs w:val="32"/>
          <w:lang w:val="en-US" w:eastAsia="zh-CN"/>
        </w:rPr>
        <w:t>城乡社区规划与管理</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442.21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71.28</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_GB2312" w:eastAsia="仿宋_GB2312"/>
          <w:b w:val="0"/>
          <w:bCs/>
          <w:color w:val="000000"/>
          <w:sz w:val="32"/>
          <w:szCs w:val="32"/>
          <w:lang w:eastAsia="zh-CN"/>
        </w:rPr>
        <w:t>剩余项目资金</w:t>
      </w:r>
      <w:r>
        <w:rPr>
          <w:rStyle w:val="15"/>
          <w:rFonts w:hint="eastAsia" w:ascii="仿宋_GB2312" w:eastAsia="仿宋_GB2312"/>
          <w:b w:val="0"/>
          <w:bCs w:val="0"/>
          <w:color w:val="auto"/>
          <w:sz w:val="32"/>
          <w:szCs w:val="32"/>
          <w:lang w:eastAsia="zh-CN"/>
        </w:rPr>
        <w:t>结转下年继续支付</w:t>
      </w:r>
      <w:r>
        <w:rPr>
          <w:rStyle w:val="15"/>
          <w:rFonts w:hint="eastAsia" w:ascii="仿宋" w:hAnsi="仿宋" w:eastAsia="仿宋"/>
          <w:b w:val="0"/>
          <w:bCs/>
          <w:color w:val="000000"/>
          <w:sz w:val="32"/>
          <w:szCs w:val="32"/>
        </w:rPr>
        <w:t>。</w:t>
      </w:r>
    </w:p>
    <w:p>
      <w:pPr>
        <w:spacing w:line="600" w:lineRule="exact"/>
        <w:ind w:firstLine="642" w:firstLineChars="200"/>
        <w:rPr>
          <w:rFonts w:ascii="仿宋" w:hAnsi="仿宋" w:eastAsia="仿宋"/>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住房保障（类）</w:t>
      </w:r>
      <w:r>
        <w:rPr>
          <w:rStyle w:val="15"/>
          <w:rFonts w:hint="eastAsia" w:ascii="仿宋" w:hAnsi="仿宋" w:eastAsia="仿宋"/>
          <w:bCs/>
          <w:color w:val="000000"/>
          <w:sz w:val="32"/>
          <w:szCs w:val="32"/>
          <w:lang w:val="en-US" w:eastAsia="zh-CN"/>
        </w:rPr>
        <w:t>住房改革支出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住房公积金</w:t>
      </w:r>
      <w:r>
        <w:rPr>
          <w:rStyle w:val="15"/>
          <w:rFonts w:hint="eastAsia" w:ascii="仿宋" w:hAnsi="仿宋" w:eastAsia="仿宋"/>
          <w:bCs/>
          <w:color w:val="000000"/>
          <w:sz w:val="32"/>
          <w:szCs w:val="32"/>
        </w:rPr>
        <w:t>（项）:</w:t>
      </w:r>
      <w:r>
        <w:rPr>
          <w:rStyle w:val="15"/>
          <w:rFonts w:hint="eastAsia" w:ascii="仿宋_GB2312" w:eastAsia="仿宋_GB2312"/>
          <w:b w:val="0"/>
          <w:bCs/>
          <w:color w:val="auto"/>
          <w:sz w:val="32"/>
          <w:szCs w:val="32"/>
        </w:rPr>
        <w:t>支出决算为</w:t>
      </w:r>
      <w:r>
        <w:rPr>
          <w:rStyle w:val="15"/>
          <w:rFonts w:hint="eastAsia" w:ascii="仿宋_GB2312" w:eastAsia="仿宋_GB2312"/>
          <w:b w:val="0"/>
          <w:bCs/>
          <w:color w:val="auto"/>
          <w:sz w:val="32"/>
          <w:szCs w:val="32"/>
          <w:lang w:val="en-US" w:eastAsia="zh-CN"/>
        </w:rPr>
        <w:t>36.99</w:t>
      </w:r>
      <w:r>
        <w:rPr>
          <w:rStyle w:val="15"/>
          <w:rFonts w:hint="eastAsia" w:ascii="仿宋_GB2312" w:eastAsia="仿宋_GB2312"/>
          <w:b w:val="0"/>
          <w:bCs/>
          <w:color w:val="auto"/>
          <w:sz w:val="32"/>
          <w:szCs w:val="32"/>
        </w:rPr>
        <w:t>万元，完成预算</w:t>
      </w:r>
      <w:r>
        <w:rPr>
          <w:rStyle w:val="15"/>
          <w:rFonts w:hint="eastAsia" w:ascii="仿宋_GB2312" w:eastAsia="仿宋_GB2312"/>
          <w:b w:val="0"/>
          <w:bCs/>
          <w:color w:val="auto"/>
          <w:sz w:val="32"/>
          <w:szCs w:val="32"/>
          <w:lang w:val="en-US" w:eastAsia="zh-CN"/>
        </w:rPr>
        <w:t>100</w:t>
      </w:r>
      <w:r>
        <w:rPr>
          <w:rStyle w:val="15"/>
          <w:rFonts w:hint="eastAsia" w:ascii="仿宋_GB2312" w:eastAsia="仿宋_GB2312"/>
          <w:b w:val="0"/>
          <w:bCs/>
          <w:color w:val="auto"/>
          <w:sz w:val="32"/>
          <w:szCs w:val="32"/>
        </w:rPr>
        <w:t>%</w:t>
      </w:r>
    </w:p>
    <w:p>
      <w:pPr>
        <w:tabs>
          <w:tab w:val="right" w:pos="8306"/>
        </w:tabs>
        <w:spacing w:line="600" w:lineRule="exact"/>
        <w:ind w:firstLine="640"/>
        <w:outlineLvl w:val="1"/>
        <w:rPr>
          <w:rStyle w:val="28"/>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spacing w:line="600" w:lineRule="exact"/>
        <w:ind w:firstLine="645"/>
        <w:jc w:val="left"/>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515.55</w:t>
      </w:r>
      <w:r>
        <w:rPr>
          <w:rFonts w:hint="eastAsia" w:ascii="仿宋" w:hAnsi="仿宋" w:eastAsia="仿宋"/>
          <w:color w:val="000000"/>
          <w:sz w:val="32"/>
          <w:szCs w:val="32"/>
        </w:rPr>
        <w:t>万元，其中：</w:t>
      </w:r>
    </w:p>
    <w:p>
      <w:pPr>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401.69</w:t>
      </w:r>
      <w:r>
        <w:rPr>
          <w:rFonts w:hint="eastAsia" w:ascii="仿宋" w:hAnsi="仿宋" w:eastAsia="仿宋"/>
          <w:color w:val="000000"/>
          <w:sz w:val="32"/>
          <w:szCs w:val="32"/>
        </w:rPr>
        <w:t>万元，主要包括：基本工资、津贴补贴、奖金、绩效工资、机关事业单位基本养老保险缴费、其他社会保障缴费、其他工资福利支出、奖励金、住房公积金、其他对个人和家庭的补助支出等。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113.86</w:t>
      </w:r>
      <w:r>
        <w:rPr>
          <w:rFonts w:hint="eastAsia" w:ascii="仿宋" w:hAnsi="仿宋" w:eastAsia="仿宋"/>
          <w:color w:val="000000"/>
          <w:sz w:val="32"/>
          <w:szCs w:val="32"/>
        </w:rPr>
        <w:t>万元，主要包括：办公费、印刷费、手续费、水费、电费、邮电费</w:t>
      </w:r>
      <w:r>
        <w:rPr>
          <w:rFonts w:hint="eastAsia" w:ascii="仿宋" w:hAnsi="仿宋" w:eastAsia="仿宋"/>
          <w:color w:val="000000"/>
          <w:sz w:val="32"/>
          <w:szCs w:val="32"/>
          <w:lang w:eastAsia="zh-CN"/>
        </w:rPr>
        <w:t>、</w:t>
      </w:r>
      <w:r>
        <w:rPr>
          <w:rFonts w:hint="eastAsia" w:ascii="仿宋" w:hAnsi="仿宋" w:eastAsia="仿宋"/>
          <w:color w:val="000000"/>
          <w:sz w:val="32"/>
          <w:szCs w:val="32"/>
        </w:rPr>
        <w:t>差旅费、维修（护）费、会议费、培训费、公务接待费、劳务费、委托业务费、工会经费、福利费、其他交通费、办公设备购置等。</w:t>
      </w:r>
    </w:p>
    <w:p>
      <w:pPr>
        <w:spacing w:line="600" w:lineRule="exact"/>
        <w:ind w:firstLine="640"/>
        <w:outlineLvl w:val="1"/>
        <w:rPr>
          <w:rStyle w:val="28"/>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jc w:val="left"/>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0.28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我局三公经费仅公务接待支出，本年度我局</w:t>
      </w:r>
      <w:r>
        <w:rPr>
          <w:rFonts w:hint="eastAsia" w:ascii="仿宋_GB2312" w:eastAsia="仿宋_GB2312"/>
          <w:color w:val="000000"/>
          <w:sz w:val="32"/>
          <w:szCs w:val="32"/>
          <w:lang w:val="en-US" w:eastAsia="zh-CN"/>
        </w:rPr>
        <w:t>公务接待单位遵照厉行节约的原则，</w:t>
      </w:r>
      <w:r>
        <w:rPr>
          <w:rFonts w:hint="eastAsia" w:ascii="仿宋" w:hAnsi="仿宋" w:eastAsia="仿宋"/>
          <w:color w:val="000000"/>
          <w:sz w:val="32"/>
          <w:szCs w:val="32"/>
        </w:rPr>
        <w:t>严格执行三单制、控制用餐标准及人数，在厉行节约控制成本上取得了明显效果。</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jc w:val="left"/>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lang w:val="en-US" w:eastAsia="zh-CN"/>
        </w:rPr>
        <w:t>.28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_GB2312" w:eastAsia="仿宋_GB2312"/>
          <w:color w:val="FF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7年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7年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7年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万元。公务用车运行维护费支出决算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7年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jc w:val="left"/>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0.28</w:t>
      </w:r>
      <w:r>
        <w:rPr>
          <w:rFonts w:hint="eastAsia" w:ascii="仿宋_GB2312" w:eastAsia="仿宋_GB2312"/>
          <w:color w:val="000000"/>
          <w:sz w:val="32"/>
          <w:szCs w:val="32"/>
        </w:rPr>
        <w:t>万</w:t>
      </w:r>
      <w:r>
        <w:rPr>
          <w:rFonts w:hint="eastAsia" w:ascii="仿宋_GB2312" w:eastAsia="仿宋_GB2312"/>
          <w:color w:val="auto"/>
          <w:sz w:val="32"/>
          <w:szCs w:val="32"/>
        </w:rPr>
        <w:t>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19</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r>
        <w:rPr>
          <w:rFonts w:hint="eastAsia" w:ascii="仿宋_GB2312" w:eastAsia="仿宋_GB2312"/>
          <w:color w:val="auto"/>
          <w:sz w:val="32"/>
          <w:szCs w:val="32"/>
        </w:rPr>
        <w:t>公务</w:t>
      </w:r>
      <w:r>
        <w:rPr>
          <w:rFonts w:hint="eastAsia" w:ascii="仿宋_GB2312" w:eastAsia="仿宋_GB2312"/>
          <w:color w:val="000000"/>
          <w:sz w:val="32"/>
          <w:szCs w:val="32"/>
        </w:rPr>
        <w:t>接待费支出决算比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eastAsia="zh-CN"/>
        </w:rPr>
        <w:t>0</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6.67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公务接待单位遵照厉行节约的原则，</w:t>
      </w:r>
      <w:r>
        <w:rPr>
          <w:rFonts w:hint="eastAsia" w:ascii="仿宋" w:hAnsi="仿宋" w:eastAsia="仿宋"/>
          <w:color w:val="000000"/>
          <w:sz w:val="32"/>
          <w:szCs w:val="32"/>
        </w:rPr>
        <w:t>严格执行三单制、控制用餐标准及人数，在厉行节约控制成本上取得了明显效果，提高</w:t>
      </w:r>
      <w:r>
        <w:rPr>
          <w:rFonts w:hint="eastAsia" w:ascii="仿宋" w:hAnsi="仿宋" w:eastAsia="仿宋"/>
          <w:color w:val="000000"/>
          <w:sz w:val="32"/>
          <w:szCs w:val="32"/>
          <w:lang w:eastAsia="zh-CN"/>
        </w:rPr>
        <w:t>了</w:t>
      </w:r>
      <w:r>
        <w:rPr>
          <w:rFonts w:hint="eastAsia" w:ascii="仿宋" w:hAnsi="仿宋" w:eastAsia="仿宋"/>
          <w:color w:val="000000"/>
          <w:sz w:val="32"/>
          <w:szCs w:val="32"/>
        </w:rPr>
        <w:t>资金使用效益</w:t>
      </w:r>
      <w:r>
        <w:rPr>
          <w:rFonts w:hint="eastAsia" w:ascii="仿宋_GB2312" w:eastAsia="仿宋_GB2312"/>
          <w:color w:val="000000"/>
          <w:sz w:val="32"/>
          <w:szCs w:val="32"/>
        </w:rPr>
        <w:t>。</w:t>
      </w:r>
    </w:p>
    <w:p>
      <w:pPr>
        <w:spacing w:line="600" w:lineRule="exact"/>
        <w:ind w:firstLine="640" w:firstLineChars="200"/>
        <w:jc w:val="left"/>
        <w:rPr>
          <w:rFonts w:hint="eastAsia" w:ascii="仿宋" w:hAnsi="仿宋" w:eastAsia="仿宋"/>
          <w:color w:val="000000"/>
          <w:sz w:val="32"/>
          <w:szCs w:val="32"/>
        </w:rPr>
      </w:pPr>
      <w:r>
        <w:rPr>
          <w:rFonts w:hint="eastAsia" w:ascii="仿宋_GB2312" w:eastAsia="仿宋_GB2312"/>
          <w:color w:val="000000"/>
          <w:sz w:val="32"/>
          <w:szCs w:val="32"/>
        </w:rPr>
        <w:t>主要用于执行公务、开展业务活动开支的交通费、住宿费、用餐费等。</w:t>
      </w:r>
      <w:r>
        <w:rPr>
          <w:rFonts w:hint="eastAsia" w:ascii="仿宋" w:hAnsi="仿宋" w:eastAsia="仿宋"/>
          <w:color w:val="000000"/>
          <w:sz w:val="32"/>
          <w:szCs w:val="32"/>
        </w:rPr>
        <w:t>国内公务接待</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0.28</w:t>
      </w:r>
      <w:r>
        <w:rPr>
          <w:rFonts w:hint="eastAsia" w:ascii="仿宋" w:hAnsi="仿宋" w:eastAsia="仿宋"/>
          <w:color w:val="000000"/>
          <w:sz w:val="32"/>
          <w:szCs w:val="32"/>
        </w:rPr>
        <w:t>万元。其中：</w:t>
      </w:r>
      <w:r>
        <w:rPr>
          <w:rFonts w:hint="eastAsia" w:ascii="仿宋" w:hAnsi="仿宋" w:eastAsia="仿宋"/>
          <w:color w:val="000000"/>
          <w:sz w:val="32"/>
          <w:szCs w:val="32"/>
          <w:lang w:eastAsia="zh-CN"/>
        </w:rPr>
        <w:t>主要用于中青城投有限公司来广对接昭化旅游度假区工作方案支出。</w:t>
      </w:r>
      <w:r>
        <w:rPr>
          <w:rFonts w:hint="eastAsia" w:ascii="仿宋_GB2312" w:eastAsia="仿宋_GB2312"/>
          <w:color w:val="000000"/>
          <w:sz w:val="32"/>
          <w:szCs w:val="32"/>
        </w:rPr>
        <w:t>其中：</w:t>
      </w:r>
    </w:p>
    <w:p>
      <w:pPr>
        <w:spacing w:line="600" w:lineRule="exact"/>
        <w:ind w:firstLine="642" w:firstLineChars="200"/>
        <w:jc w:val="left"/>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pPr>
        <w:spacing w:line="600" w:lineRule="exact"/>
        <w:ind w:firstLine="640"/>
        <w:jc w:val="left"/>
        <w:rPr>
          <w:rFonts w:ascii="黑体" w:eastAsia="黑体"/>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0.28</w:t>
      </w:r>
      <w:r>
        <w:rPr>
          <w:rFonts w:hint="eastAsia" w:ascii="仿宋_GB2312" w:eastAsia="仿宋_GB2312"/>
          <w:color w:val="000000"/>
          <w:sz w:val="32"/>
          <w:szCs w:val="32"/>
        </w:rPr>
        <w:t>万元，</w:t>
      </w:r>
      <w:bookmarkStart w:id="46" w:name="_Toc15377218"/>
      <w:bookmarkStart w:id="47" w:name="_Toc15396610"/>
      <w:r>
        <w:rPr>
          <w:rFonts w:hint="eastAsia" w:ascii="仿宋" w:hAnsi="仿宋" w:eastAsia="仿宋"/>
          <w:color w:val="000000"/>
          <w:sz w:val="32"/>
          <w:szCs w:val="32"/>
          <w:lang w:eastAsia="zh-CN"/>
        </w:rPr>
        <w:t>主要用于中青城投有限公司来广对接昭化旅游度假区工作方案支出。</w:t>
      </w:r>
    </w:p>
    <w:p>
      <w:pPr>
        <w:spacing w:line="600" w:lineRule="exact"/>
        <w:ind w:firstLine="640"/>
        <w:jc w:val="left"/>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pPr>
        <w:spacing w:line="600" w:lineRule="exact"/>
        <w:ind w:firstLine="640"/>
        <w:jc w:val="left"/>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pPr>
        <w:numPr>
          <w:ilvl w:val="0"/>
          <w:numId w:val="2"/>
        </w:numPr>
        <w:spacing w:line="600" w:lineRule="exact"/>
        <w:ind w:firstLine="640"/>
        <w:jc w:val="left"/>
        <w:outlineLvl w:val="1"/>
        <w:rPr>
          <w:rStyle w:val="28"/>
          <w:rFonts w:ascii="黑体" w:hAnsi="黑体" w:eastAsia="黑体"/>
          <w:b w:val="0"/>
        </w:rPr>
      </w:pPr>
      <w:bookmarkStart w:id="48" w:name="_Toc15396611"/>
      <w:bookmarkStart w:id="49" w:name="_Toc15377219"/>
      <w:r>
        <w:rPr>
          <w:rStyle w:val="28"/>
          <w:rFonts w:hint="eastAsia" w:ascii="黑体" w:hAnsi="黑体" w:eastAsia="黑体"/>
          <w:b w:val="0"/>
        </w:rPr>
        <w:t>国有资本经营预算支出决算情况说明</w:t>
      </w:r>
      <w:bookmarkEnd w:id="48"/>
      <w:bookmarkEnd w:id="49"/>
    </w:p>
    <w:p>
      <w:pPr>
        <w:spacing w:line="600" w:lineRule="exact"/>
        <w:ind w:firstLine="640"/>
        <w:jc w:val="left"/>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pPr>
        <w:pStyle w:val="19"/>
        <w:numPr>
          <w:ilvl w:val="0"/>
          <w:numId w:val="3"/>
        </w:numPr>
        <w:spacing w:line="580" w:lineRule="exact"/>
        <w:ind w:firstLineChars="0"/>
        <w:jc w:val="left"/>
        <w:rPr>
          <w:rStyle w:val="28"/>
          <w:rFonts w:ascii="黑体" w:hAnsi="黑体" w:eastAsia="黑体"/>
          <w:b w:val="0"/>
        </w:rPr>
      </w:pPr>
      <w:r>
        <w:rPr>
          <w:rStyle w:val="28"/>
          <w:rFonts w:hint="eastAsia" w:ascii="黑体" w:hAnsi="黑体" w:eastAsia="黑体"/>
          <w:b w:val="0"/>
        </w:rPr>
        <w:t>预算绩效情况说明</w:t>
      </w:r>
    </w:p>
    <w:p>
      <w:pPr>
        <w:numPr>
          <w:ilvl w:val="0"/>
          <w:numId w:val="4"/>
        </w:numPr>
        <w:spacing w:line="580" w:lineRule="exact"/>
        <w:ind w:firstLine="642" w:firstLineChars="200"/>
        <w:jc w:val="left"/>
        <w:rPr>
          <w:rFonts w:ascii="仿宋" w:hAnsi="仿宋" w:eastAsia="仿宋" w:cs="楷体_GB2312"/>
          <w:b/>
          <w:bCs/>
          <w:color w:val="auto"/>
          <w:sz w:val="32"/>
          <w:szCs w:val="32"/>
        </w:rPr>
      </w:pPr>
      <w:r>
        <w:rPr>
          <w:rFonts w:hint="eastAsia" w:ascii="仿宋" w:hAnsi="仿宋" w:eastAsia="仿宋" w:cs="楷体_GB2312"/>
          <w:b/>
          <w:bCs/>
          <w:color w:val="auto"/>
          <w:sz w:val="32"/>
          <w:szCs w:val="32"/>
        </w:rPr>
        <w:t>预算绩效管理工作开展情况。</w:t>
      </w:r>
    </w:p>
    <w:p>
      <w:pPr>
        <w:spacing w:line="58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在年初预算编制阶段，组织对</w:t>
      </w:r>
      <w:r>
        <w:rPr>
          <w:rFonts w:hint="eastAsia" w:ascii="仿宋_GB2312" w:hAnsi="仿宋_GB2312" w:eastAsia="仿宋_GB2312" w:cs="仿宋_GB2312"/>
          <w:color w:val="auto"/>
          <w:sz w:val="32"/>
          <w:szCs w:val="32"/>
          <w:lang w:eastAsia="zh-CN"/>
        </w:rPr>
        <w:t>“规划督察专项经费”</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及“规委会工作经费”项目</w:t>
      </w:r>
      <w:r>
        <w:rPr>
          <w:rFonts w:hint="eastAsia" w:ascii="仿宋_GB2312" w:hAnsi="仿宋_GB2312" w:eastAsia="仿宋_GB2312" w:cs="仿宋_GB2312"/>
          <w:color w:val="auto"/>
          <w:sz w:val="32"/>
          <w:szCs w:val="32"/>
        </w:rPr>
        <w:t>开展了预算事前绩效评估，对</w:t>
      </w:r>
      <w:r>
        <w:rPr>
          <w:rFonts w:hint="eastAsia" w:ascii="仿宋_GB2312" w:hAnsi="仿宋_GB2312" w:eastAsia="仿宋_GB2312" w:cs="仿宋_GB2312"/>
          <w:color w:val="auto"/>
          <w:sz w:val="32"/>
          <w:szCs w:val="32"/>
          <w:lang w:eastAsia="zh-CN"/>
        </w:rPr>
        <w:t>“规划督察专项经费”</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及“规委会工作经费”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个项目开展了绩效目标完成情况梳理填报。</w:t>
      </w:r>
    </w:p>
    <w:p>
      <w:pPr>
        <w:spacing w:line="58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2018年部门整体支出开展绩效自评，从评价情况来看预算绩效管理结合本部门工作实际，优化支出结构，项目名称和内容规范，预算编制正确完整，无遗漏错编款项及虚报冒领款项，并在财政部门规定的时间内及时上报。本部门还自行组织了2个项目绩效评价，从经济效益上看，各项目的实施使城市更加规划合理，配套设施更加完善，解决了群众关心的热点难点问题，为市民创造良好的生活与工作环境，从而方便了广大人民群众生活需要。从社会效益上看，通过各项目实施，使生活环境改善、配套设施完善、各道路、景观得到提升，不断改善城区建设水平，改善城乡建设质量景观，使城乡结合部的山、水、田、林、路、宅等得到综合治理与提升，进一步实现了人与自然的和谐。</w:t>
      </w:r>
    </w:p>
    <w:p>
      <w:pPr>
        <w:numPr>
          <w:ilvl w:val="0"/>
          <w:numId w:val="4"/>
        </w:numPr>
        <w:spacing w:line="580" w:lineRule="exact"/>
        <w:ind w:firstLine="642" w:firstLineChars="200"/>
        <w:jc w:val="left"/>
        <w:rPr>
          <w:rFonts w:ascii="仿宋_GB2312" w:hAnsi="仿宋_GB2312" w:eastAsia="仿宋_GB2312" w:cs="仿宋_GB2312"/>
          <w:color w:val="auto"/>
          <w:sz w:val="32"/>
          <w:szCs w:val="32"/>
        </w:rPr>
      </w:pPr>
      <w:r>
        <w:rPr>
          <w:rFonts w:hint="eastAsia" w:ascii="仿宋" w:hAnsi="仿宋" w:eastAsia="仿宋" w:cs="楷体_GB2312"/>
          <w:b/>
          <w:bCs/>
          <w:color w:val="auto"/>
          <w:sz w:val="32"/>
          <w:szCs w:val="32"/>
        </w:rPr>
        <w:t>项目绩效目标完成情况。</w:t>
      </w:r>
      <w:r>
        <w:rPr>
          <w:rFonts w:hint="eastAsia" w:ascii="楷体_GB2312" w:hAnsi="楷体_GB2312" w:eastAsia="楷体_GB2312" w:cs="楷体_GB2312"/>
          <w:b/>
          <w:bCs/>
          <w:color w:val="auto"/>
          <w:sz w:val="32"/>
          <w:szCs w:val="32"/>
        </w:rPr>
        <w:br w:type="textWrapping"/>
      </w:r>
      <w:r>
        <w:rPr>
          <w:rFonts w:hint="eastAsia" w:ascii="仿宋_GB2312" w:hAnsi="仿宋_GB2312" w:eastAsia="仿宋_GB2312" w:cs="仿宋_GB2312"/>
          <w:color w:val="auto"/>
          <w:sz w:val="32"/>
          <w:szCs w:val="32"/>
        </w:rPr>
        <w:t xml:space="preserve">    本部门在2018年度部门决算中反映</w:t>
      </w:r>
      <w:r>
        <w:rPr>
          <w:rFonts w:hint="eastAsia" w:ascii="仿宋_GB2312" w:hAnsi="仿宋_GB2312" w:eastAsia="仿宋_GB2312" w:cs="仿宋_GB2312"/>
          <w:color w:val="auto"/>
          <w:sz w:val="32"/>
          <w:szCs w:val="32"/>
          <w:lang w:eastAsia="zh-CN"/>
        </w:rPr>
        <w:t>“规划督察专项经费”“规划督察专项经费”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个项目绩效目标实际完成情况。</w:t>
      </w:r>
    </w:p>
    <w:p>
      <w:pPr>
        <w:numPr>
          <w:ilvl w:val="0"/>
          <w:numId w:val="5"/>
        </w:num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规划督察专项经费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13.14</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13.14</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eastAsia="zh-CN"/>
        </w:rPr>
        <w:t>维护了规划权威和严肃性，全年未发生违反规划进行建设情况。有效及时制止一些违规行为，保护历史古迹和风景资源。</w:t>
      </w:r>
    </w:p>
    <w:p>
      <w:pPr>
        <w:widowControl w:val="0"/>
        <w:tabs>
          <w:tab w:val="left" w:pos="312"/>
        </w:tabs>
        <w:wordWrap/>
        <w:adjustRightInd/>
        <w:snapToGrid/>
        <w:spacing w:line="58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2.规委会工作经费项目绩效目标完成情况综述。项目全年预算数19.33万元，执行数为19.33万元，完成预算的100%。通过项目实施，保障了每一次市规委会办公室职责履行，确保每次会议完满完成，确保及时对规委会成员进行调整、充实，在全国范围内聘请10余名国内知名专家为市规委会顾问，并根据专业性质不同增加了相关行业的专家委员。进一步延伸专委会审查深度，建立“容缺后补”和建设项目快审机制，根据项目建设需要适时筹备专委会和规委会，服务广元城乡规划建设，做好项目要素保障。</w:t>
      </w:r>
    </w:p>
    <w:tbl>
      <w:tblPr>
        <w:tblStyle w:val="13"/>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6"/>
        <w:gridCol w:w="831"/>
        <w:gridCol w:w="1025"/>
        <w:gridCol w:w="118"/>
        <w:gridCol w:w="2274"/>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19"/>
              <w:widowControl/>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val="en-US" w:eastAsia="zh-CN"/>
              </w:rPr>
              <w:t xml:space="preserve">  </w:t>
            </w:r>
            <w:r>
              <w:rPr>
                <w:rFonts w:hint="eastAsia" w:ascii="宋体" w:hAnsi="宋体" w:cs="宋体"/>
                <w:color w:val="000000"/>
                <w:kern w:val="0"/>
                <w:sz w:val="36"/>
                <w:szCs w:val="36"/>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规划督察专项经费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广元市规划局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预算执行情况(万元)</w:t>
            </w:r>
          </w:p>
        </w:tc>
        <w:tc>
          <w:tcPr>
            <w:tcW w:w="18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13.14万元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18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13.14万元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13.14万元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18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年度目标完成情况</w:t>
            </w:r>
          </w:p>
        </w:tc>
        <w:tc>
          <w:tcPr>
            <w:tcW w:w="424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424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建立市、县、镇、乡联动的乘此昂规划督察机制，将城乡规划督察由市级延伸到村</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lang w:eastAsia="zh-CN"/>
              </w:rPr>
              <w:t>建立市、县、镇、乡联动的乘此昂规划督察机制，将城乡规划督察由市级延伸到村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绩效指标完成情况</w:t>
            </w:r>
          </w:p>
        </w:tc>
        <w:tc>
          <w:tcPr>
            <w:tcW w:w="8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一级指标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二级指标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8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数量指标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派驻个县区规划督察员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8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质量指标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开展规划督察工作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维护规划权威和严肃，不发生违反规划进行建设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无违反规划进行建设行为发生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8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时效指标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2018年12月31日前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2018年12月31日前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8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成本指标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规划督察员工资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19.2万元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8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效益指标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社会效益</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对工作是促进作用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有效及时制止一些违规行为，保护历史古迹和风景资源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lang w:eastAsia="zh-CN"/>
              </w:rPr>
              <w:t>有效及时制止一些违规行为，保护历史古迹和风景资源</w:t>
            </w:r>
          </w:p>
        </w:tc>
      </w:tr>
    </w:tbl>
    <w:tbl>
      <w:tblPr>
        <w:tblStyle w:val="13"/>
        <w:tblpPr w:leftFromText="180" w:rightFromText="180" w:vertAnchor="text" w:horzAnchor="page" w:tblpX="1361" w:tblpY="-1238"/>
        <w:tblOverlap w:val="never"/>
        <w:tblW w:w="996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38"/>
        <w:gridCol w:w="819"/>
        <w:gridCol w:w="1025"/>
        <w:gridCol w:w="118"/>
        <w:gridCol w:w="2274"/>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19"/>
              <w:widowControl/>
              <w:ind w:left="0" w:leftChars="0" w:firstLine="0" w:firstLineChars="0"/>
              <w:jc w:val="center"/>
              <w:textAlignment w:val="center"/>
              <w:rPr>
                <w:rFonts w:ascii="宋体" w:hAnsi="宋体" w:cs="宋体"/>
                <w:color w:val="000000"/>
                <w:sz w:val="21"/>
                <w:szCs w:val="21"/>
              </w:rPr>
            </w:pPr>
            <w:bookmarkStart w:id="76" w:name="_GoBack"/>
          </w:p>
          <w:p>
            <w:pPr>
              <w:pStyle w:val="19"/>
              <w:widowControl/>
              <w:ind w:left="0" w:leftChars="0" w:firstLine="0" w:firstLineChars="0"/>
              <w:jc w:val="center"/>
              <w:textAlignment w:val="center"/>
              <w:rPr>
                <w:rFonts w:ascii="宋体" w:hAnsi="宋体" w:cs="宋体"/>
                <w:color w:val="000000"/>
                <w:sz w:val="21"/>
                <w:szCs w:val="21"/>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val="en-US" w:eastAsia="zh-CN"/>
              </w:rPr>
              <w:t xml:space="preserve">  </w:t>
            </w:r>
            <w:r>
              <w:rPr>
                <w:rFonts w:hint="eastAsia" w:ascii="宋体" w:hAnsi="宋体" w:cs="宋体"/>
                <w:color w:val="000000"/>
                <w:kern w:val="0"/>
                <w:sz w:val="36"/>
                <w:szCs w:val="36"/>
              </w:rPr>
              <w:t>(2018 年度)</w:t>
            </w:r>
          </w:p>
          <w:p>
            <w:pPr>
              <w:pStyle w:val="19"/>
              <w:widowControl/>
              <w:ind w:left="0" w:leftChars="0" w:firstLine="0" w:firstLineChars="0"/>
              <w:jc w:val="center"/>
              <w:textAlignment w:val="center"/>
              <w:rPr>
                <w:rFonts w:ascii="宋体" w:hAnsi="宋体" w:cs="宋体"/>
                <w:color w:val="000000"/>
                <w:sz w:val="21"/>
                <w:szCs w:val="21"/>
              </w:rPr>
            </w:pPr>
          </w:p>
          <w:p>
            <w:pPr>
              <w:pStyle w:val="19"/>
              <w:widowControl/>
              <w:ind w:left="0" w:leftChars="0" w:firstLine="0" w:firstLineChars="0"/>
              <w:jc w:val="both"/>
              <w:textAlignment w:val="center"/>
              <w:rPr>
                <w:rFonts w:ascii="宋体" w:hAnsi="宋体" w:cs="宋体"/>
                <w:color w:val="000000"/>
                <w:sz w:val="21"/>
                <w:szCs w:val="21"/>
              </w:rPr>
            </w:pPr>
          </w:p>
          <w:p>
            <w:pPr>
              <w:pStyle w:val="19"/>
              <w:widowControl/>
              <w:ind w:left="0" w:leftChars="0" w:firstLine="0" w:firstLineChars="0"/>
              <w:jc w:val="center"/>
              <w:textAlignment w:val="center"/>
              <w:rPr>
                <w:rFonts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规委会工作经费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广元市规划局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预算执行情况(万元)</w:t>
            </w:r>
          </w:p>
        </w:tc>
        <w:tc>
          <w:tcPr>
            <w:tcW w:w="184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19.33万元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19.33万元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184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19.33万元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19.33万元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184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年度目标完成情况</w:t>
            </w:r>
          </w:p>
        </w:tc>
        <w:tc>
          <w:tcPr>
            <w:tcW w:w="423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423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组织、筹备和服务于每次规委会议，及时对规委会成员进行了调整、充实，在全国范围内聘请10余名国内知名专家为市规委会顾问，并根据专业性质不同增加了相关行业的专家委员。进一步延伸专委会审查深度，建立“容缺后补”和建设项目快审机制，根据项目建设需要适时筹备专委会和规委会，服务广元城乡规划建设，做好项目要素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lang w:eastAsia="zh-CN"/>
              </w:rPr>
              <w:t>组织、筹备和服务于每次规委会议，及时对规委会成员进行了调整、充实，在全国范围内聘请10余名国内知名专家为市规委会顾问，并根据专业性质不同增加了相关行业的专家委员。进一步延伸专委会审查深度，建立“容缺后补”和建设项目快审机制，根据项目建设需要适时筹备专委会和规委会，服务广元城乡规划建设，做好项目要素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9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绩效指标完成情况</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一级指标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二级指标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数量指标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abs>
                <w:tab w:val="center" w:pos="1122"/>
              </w:tabs>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1"/>
                <w:szCs w:val="21"/>
                <w:u w:val="none"/>
                <w:lang w:val="en-US" w:eastAsia="zh-CN" w:bidi="ar-SA"/>
              </w:rPr>
              <w:t>召开专委会</w:t>
            </w:r>
            <w:r>
              <w:rPr>
                <w:rFonts w:hint="eastAsia" w:ascii="宋体" w:hAnsi="宋体" w:cs="宋体"/>
                <w:i w:val="0"/>
                <w:color w:val="000000"/>
                <w:kern w:val="0"/>
                <w:sz w:val="21"/>
                <w:szCs w:val="21"/>
                <w:u w:val="none"/>
                <w:lang w:val="en-US" w:eastAsia="zh-CN" w:bidi="ar-SA"/>
              </w:rPr>
              <w:tab/>
            </w:r>
            <w:r>
              <w:rPr>
                <w:rFonts w:hint="eastAsia" w:ascii="宋体" w:hAnsi="宋体" w:cs="宋体"/>
                <w:i w:val="0"/>
                <w:color w:val="000000"/>
                <w:kern w:val="0"/>
                <w:sz w:val="21"/>
                <w:szCs w:val="21"/>
                <w:u w:val="none"/>
                <w:lang w:val="en-US" w:eastAsia="zh-CN" w:bidi="ar-SA"/>
              </w:rPr>
              <w:t>、专委会技术审查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全年12期、80期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全年共组织召开了71次专委会，11次规委会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质量指标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1"/>
                <w:szCs w:val="21"/>
                <w:u w:val="none"/>
                <w:lang w:val="en-US" w:eastAsia="zh-CN" w:bidi="ar-SA"/>
              </w:rPr>
              <w:t>召开专委会</w:t>
            </w:r>
            <w:r>
              <w:rPr>
                <w:rFonts w:hint="eastAsia" w:ascii="宋体" w:hAnsi="宋体" w:cs="宋体"/>
                <w:i w:val="0"/>
                <w:color w:val="000000"/>
                <w:kern w:val="0"/>
                <w:sz w:val="21"/>
                <w:szCs w:val="21"/>
                <w:u w:val="none"/>
                <w:lang w:val="en-US" w:eastAsia="zh-CN" w:bidi="ar-SA"/>
              </w:rPr>
              <w:tab/>
            </w:r>
            <w:r>
              <w:rPr>
                <w:rFonts w:hint="eastAsia" w:ascii="宋体" w:hAnsi="宋体" w:cs="宋体"/>
                <w:i w:val="0"/>
                <w:color w:val="000000"/>
                <w:kern w:val="0"/>
                <w:sz w:val="21"/>
                <w:szCs w:val="21"/>
                <w:u w:val="none"/>
                <w:lang w:val="en-US" w:eastAsia="zh-CN" w:bidi="ar-SA"/>
              </w:rPr>
              <w:t>、专委会技术审查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对400余个项目规划设计方案进行审查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审查、审核450余个选址、规划、建筑、市政及景观方案，同比增长近30%。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时效指标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2018年12月31日前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2018年12月31日前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成本指标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规委会专家咨询费、专家技术论证会、图纸资料制作、规委会会议室专用设备维护费用、专业档案整理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19.33万元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效益指标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社会效益</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对城市规划影响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对广元市规划建设提出专家意见，审评规划设计机构的设计方案。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lang w:eastAsia="zh-CN"/>
              </w:rPr>
              <w:t>对广元市规划建设提出专家意见，审评规划设计机构的设计方案。</w:t>
            </w:r>
          </w:p>
        </w:tc>
      </w:tr>
      <w:bookmarkEnd w:id="76"/>
    </w:tbl>
    <w:p>
      <w:pPr>
        <w:spacing w:line="580" w:lineRule="exact"/>
        <w:rPr>
          <w:rFonts w:ascii="仿宋_GB2312" w:hAnsi="仿宋_GB2312" w:eastAsia="仿宋_GB2312" w:cs="仿宋_GB2312"/>
          <w:sz w:val="32"/>
          <w:szCs w:val="32"/>
        </w:rPr>
      </w:pPr>
    </w:p>
    <w:p>
      <w:pPr>
        <w:numPr>
          <w:ilvl w:val="0"/>
          <w:numId w:val="4"/>
        </w:numPr>
        <w:spacing w:line="580" w:lineRule="exact"/>
        <w:ind w:firstLine="642"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eastAsia="zh-CN"/>
        </w:rPr>
        <w:t>广元市规划局</w:t>
      </w:r>
      <w:r>
        <w:rPr>
          <w:rFonts w:hint="eastAsia" w:ascii="仿宋_GB2312" w:hAnsi="仿宋_GB2312" w:eastAsia="仿宋_GB2312" w:cs="仿宋_GB2312"/>
          <w:sz w:val="32"/>
          <w:szCs w:val="32"/>
        </w:rPr>
        <w:t>2018年部门整体支出绩效评价报告》见附件。</w:t>
      </w:r>
    </w:p>
    <w:p>
      <w:pPr>
        <w:spacing w:line="580" w:lineRule="exact"/>
        <w:ind w:firstLine="640" w:firstLineChars="200"/>
        <w:jc w:val="both"/>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color w:val="auto"/>
          <w:sz w:val="32"/>
          <w:szCs w:val="32"/>
          <w:lang w:eastAsia="zh-CN"/>
        </w:rPr>
        <w:t>规划督察专项经费</w:t>
      </w:r>
      <w:r>
        <w:rPr>
          <w:rFonts w:hint="eastAsia" w:ascii="仿宋_GB2312" w:hAnsi="仿宋_GB2312" w:eastAsia="仿宋_GB2312" w:cs="仿宋_GB2312"/>
          <w:sz w:val="32"/>
          <w:szCs w:val="32"/>
        </w:rPr>
        <w:t>项目、</w:t>
      </w:r>
      <w:r>
        <w:rPr>
          <w:rFonts w:hint="eastAsia" w:ascii="仿宋_GB2312" w:hAnsi="仿宋_GB2312" w:eastAsia="仿宋_GB2312" w:cs="仿宋_GB2312"/>
          <w:color w:val="auto"/>
          <w:sz w:val="32"/>
          <w:szCs w:val="32"/>
          <w:lang w:eastAsia="zh-CN"/>
        </w:rPr>
        <w:t>规委会工作经费</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color w:val="auto"/>
          <w:sz w:val="32"/>
          <w:szCs w:val="32"/>
          <w:lang w:eastAsia="zh-CN"/>
        </w:rPr>
        <w:t>规委会工作经费</w:t>
      </w:r>
      <w:r>
        <w:rPr>
          <w:rFonts w:hint="eastAsia" w:ascii="仿宋_GB2312" w:hAnsi="仿宋_GB2312" w:eastAsia="仿宋_GB2312" w:cs="仿宋_GB2312"/>
          <w:sz w:val="32"/>
          <w:szCs w:val="32"/>
        </w:rPr>
        <w:t>项目2018年绩效评价报告》见附件。</w:t>
      </w:r>
    </w:p>
    <w:p>
      <w:pPr>
        <w:spacing w:line="600" w:lineRule="exact"/>
        <w:ind w:firstLine="800" w:firstLineChars="250"/>
        <w:outlineLvl w:val="1"/>
        <w:rPr>
          <w:rStyle w:val="28"/>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8"/>
          <w:rFonts w:hint="eastAsia" w:ascii="黑体" w:hAnsi="黑体" w:eastAsia="黑体"/>
        </w:rPr>
        <w:t>一、</w:t>
      </w:r>
      <w:r>
        <w:rPr>
          <w:rStyle w:val="28"/>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 w:hAnsi="仿宋" w:eastAsia="仿宋"/>
          <w:sz w:val="32"/>
          <w:szCs w:val="32"/>
        </w:rPr>
        <w:t>广元市城乡规划局</w:t>
      </w:r>
      <w:r>
        <w:rPr>
          <w:rFonts w:hint="eastAsia" w:ascii="仿宋" w:hAnsi="仿宋" w:eastAsia="仿宋"/>
          <w:sz w:val="32"/>
          <w:szCs w:val="32"/>
          <w:lang w:eastAsia="zh-CN"/>
        </w:rPr>
        <w:t>为行政事业单位，</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 w:hAnsi="仿宋" w:eastAsia="仿宋"/>
          <w:sz w:val="32"/>
          <w:szCs w:val="32"/>
        </w:rPr>
        <w:t>广元市城乡规划局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其中：政府采购货物支出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 w:hAnsi="仿宋" w:eastAsia="仿宋"/>
          <w:sz w:val="32"/>
          <w:szCs w:val="32"/>
        </w:rPr>
        <w:t>广元市城乡规划局</w:t>
      </w:r>
      <w:r>
        <w:rPr>
          <w:rFonts w:hint="eastAsia" w:ascii="仿宋_GB2312" w:eastAsia="仿宋_GB2312"/>
          <w:color w:val="000000"/>
          <w:sz w:val="32"/>
          <w:szCs w:val="32"/>
        </w:rPr>
        <w:t>共有车辆</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辆，其中：部级领导干部用车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p>
    <w:p>
      <w:pPr>
        <w:numPr>
          <w:ilvl w:val="0"/>
          <w:numId w:val="6"/>
        </w:numPr>
        <w:spacing w:line="600" w:lineRule="exact"/>
        <w:ind w:firstLine="662" w:firstLineChars="150"/>
        <w:jc w:val="center"/>
        <w:outlineLvl w:val="0"/>
        <w:rPr>
          <w:rStyle w:val="27"/>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7"/>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18"/>
        <w:spacing w:line="560" w:lineRule="exact"/>
        <w:ind w:firstLine="640" w:firstLineChars="200"/>
        <w:jc w:val="both"/>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8"/>
        <w:widowControl w:val="0"/>
        <w:wordWrap/>
        <w:autoSpaceDE w:val="0"/>
        <w:autoSpaceDN w:val="0"/>
        <w:adjustRightInd w:val="0"/>
        <w:snapToGrid/>
        <w:spacing w:line="56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其他收入：指单位取得的除上述收入以外的各项</w:t>
      </w:r>
      <w:r>
        <w:rPr>
          <w:rFonts w:hint="eastAsia" w:ascii="仿宋_GB2312" w:eastAsia="仿宋_GB2312"/>
          <w:sz w:val="32"/>
          <w:szCs w:val="32"/>
          <w:lang w:eastAsia="zh-CN"/>
        </w:rPr>
        <w:t>收</w:t>
      </w:r>
      <w:r>
        <w:rPr>
          <w:rFonts w:hint="eastAsia" w:ascii="仿宋_GB2312" w:eastAsia="仿宋_GB2312"/>
          <w:sz w:val="32"/>
          <w:szCs w:val="32"/>
        </w:rPr>
        <w:t>入。</w:t>
      </w:r>
    </w:p>
    <w:p>
      <w:pPr>
        <w:pStyle w:val="18"/>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18"/>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5.</w:t>
      </w:r>
      <w:r>
        <w:rPr>
          <w:rStyle w:val="15"/>
          <w:rFonts w:hint="eastAsia" w:ascii="仿宋_GB2312" w:eastAsia="仿宋_GB2312"/>
          <w:b w:val="0"/>
          <w:bCs/>
          <w:color w:val="000000"/>
          <w:sz w:val="32"/>
          <w:szCs w:val="32"/>
        </w:rPr>
        <w:t>社会保障和就业</w:t>
      </w:r>
      <w:r>
        <w:rPr>
          <w:rStyle w:val="15"/>
          <w:rFonts w:hint="eastAsia" w:ascii="仿宋_GB2312" w:eastAsia="仿宋_GB2312"/>
          <w:b w:val="0"/>
          <w:bCs/>
          <w:color w:val="000000"/>
          <w:sz w:val="32"/>
          <w:szCs w:val="32"/>
          <w:lang w:eastAsia="zh-CN"/>
        </w:rPr>
        <w:t>支出</w:t>
      </w:r>
      <w:r>
        <w:rPr>
          <w:rStyle w:val="15"/>
          <w:rFonts w:hint="eastAsia" w:ascii="仿宋_GB2312" w:eastAsia="仿宋_GB2312"/>
          <w:b w:val="0"/>
          <w:bCs/>
          <w:color w:val="000000"/>
          <w:sz w:val="32"/>
          <w:szCs w:val="32"/>
        </w:rPr>
        <w:t>（类）行政事业单位离退休（款）机关事业单位基本养老保险缴费支出（项）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反映机关事业单位实施养老保险制度由单位缴纳的基本养老保险支出</w:t>
      </w:r>
      <w:r>
        <w:rPr>
          <w:rFonts w:hint="eastAsia" w:ascii="仿宋_GB2312" w:eastAsia="仿宋_GB2312"/>
          <w:color w:val="000000"/>
          <w:sz w:val="32"/>
          <w:szCs w:val="32"/>
        </w:rPr>
        <w:t>。</w:t>
      </w:r>
    </w:p>
    <w:p>
      <w:pPr>
        <w:spacing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Style w:val="15"/>
          <w:rFonts w:hint="eastAsia" w:ascii="仿宋_GB2312" w:eastAsia="仿宋_GB2312"/>
          <w:b w:val="0"/>
          <w:bCs/>
          <w:color w:val="000000"/>
          <w:sz w:val="32"/>
          <w:szCs w:val="32"/>
        </w:rPr>
        <w:t>医疗卫生与计划生育（类）</w:t>
      </w:r>
      <w:r>
        <w:rPr>
          <w:rStyle w:val="15"/>
          <w:rFonts w:hint="eastAsia" w:ascii="仿宋_GB2312" w:eastAsia="仿宋_GB2312"/>
          <w:b w:val="0"/>
          <w:bCs/>
          <w:color w:val="000000"/>
          <w:sz w:val="32"/>
          <w:szCs w:val="32"/>
          <w:lang w:val="en-US" w:eastAsia="zh-CN"/>
        </w:rPr>
        <w:t>行政事业单位医疗</w:t>
      </w:r>
      <w:r>
        <w:rPr>
          <w:rStyle w:val="15"/>
          <w:rFonts w:hint="eastAsia" w:ascii="仿宋_GB2312" w:eastAsia="仿宋_GB2312"/>
          <w:b w:val="0"/>
          <w:bCs/>
          <w:color w:val="000000"/>
          <w:sz w:val="32"/>
          <w:szCs w:val="32"/>
        </w:rPr>
        <w:t>（款）</w:t>
      </w:r>
      <w:r>
        <w:rPr>
          <w:rStyle w:val="15"/>
          <w:rFonts w:hint="eastAsia" w:ascii="仿宋_GB2312" w:eastAsia="仿宋_GB2312"/>
          <w:b w:val="0"/>
          <w:bCs/>
          <w:color w:val="000000"/>
          <w:sz w:val="32"/>
          <w:szCs w:val="32"/>
          <w:lang w:val="en-US" w:eastAsia="zh-CN"/>
        </w:rPr>
        <w:t>事业单位医疗</w:t>
      </w:r>
      <w:r>
        <w:rPr>
          <w:rStyle w:val="15"/>
          <w:rFonts w:hint="eastAsia" w:ascii="仿宋_GB2312" w:eastAsia="仿宋_GB2312"/>
          <w:b w:val="0"/>
          <w:bCs/>
          <w:color w:val="000000"/>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反映财政部门集中安排的事业单位基本医疗保险缴费经费，未参加医疗保险的事业单位的公费医疗经费，按国家规定享受离休人员待遇的医疗经费</w:t>
      </w:r>
      <w:r>
        <w:rPr>
          <w:rFonts w:hint="eastAsia" w:ascii="仿宋_GB2312" w:eastAsia="仿宋_GB2312"/>
          <w:color w:val="000000"/>
          <w:sz w:val="32"/>
          <w:szCs w:val="32"/>
        </w:rPr>
        <w:t>。</w:t>
      </w:r>
    </w:p>
    <w:p>
      <w:pPr>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Style w:val="15"/>
          <w:rFonts w:hint="eastAsia" w:ascii="仿宋_GB2312" w:eastAsia="仿宋_GB2312"/>
          <w:b w:val="0"/>
          <w:bCs/>
          <w:color w:val="000000"/>
          <w:sz w:val="32"/>
          <w:szCs w:val="32"/>
        </w:rPr>
        <w:t>城乡社区（类）城乡社区规划与管理（款）</w:t>
      </w:r>
      <w:r>
        <w:rPr>
          <w:rStyle w:val="15"/>
          <w:rFonts w:hint="eastAsia" w:ascii="仿宋_GB2312" w:eastAsia="仿宋_GB2312"/>
          <w:b w:val="0"/>
          <w:bCs/>
          <w:color w:val="000000"/>
          <w:sz w:val="32"/>
          <w:szCs w:val="32"/>
          <w:lang w:val="en-US" w:eastAsia="zh-CN"/>
        </w:rPr>
        <w:t>城乡社区规划与管理</w:t>
      </w:r>
      <w:r>
        <w:rPr>
          <w:rStyle w:val="15"/>
          <w:rFonts w:hint="eastAsia" w:ascii="仿宋_GB2312" w:eastAsia="仿宋_GB2312"/>
          <w:b w:val="0"/>
          <w:bCs/>
          <w:color w:val="000000"/>
          <w:sz w:val="32"/>
          <w:szCs w:val="32"/>
        </w:rPr>
        <w:t>（项</w:t>
      </w:r>
      <w:r>
        <w:rPr>
          <w:rStyle w:val="15"/>
          <w:rFonts w:hint="eastAsia" w:ascii="仿宋_GB2312" w:eastAsia="仿宋_GB2312"/>
          <w:b w:val="0"/>
          <w:bCs/>
          <w:color w:val="000000"/>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反映城乡社区、名胜风景区、防灾减灾、历史名城规划制定与管理方面的支出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Style w:val="15"/>
          <w:rFonts w:hint="eastAsia" w:ascii="仿宋_GB2312" w:eastAsia="仿宋_GB2312"/>
          <w:b w:val="0"/>
          <w:bCs/>
          <w:color w:val="auto"/>
          <w:sz w:val="32"/>
          <w:szCs w:val="32"/>
        </w:rPr>
        <w:t>住房保障</w:t>
      </w:r>
      <w:r>
        <w:rPr>
          <w:rStyle w:val="15"/>
          <w:rFonts w:hint="eastAsia" w:ascii="仿宋_GB2312" w:eastAsia="仿宋_GB2312"/>
          <w:b w:val="0"/>
          <w:bCs/>
          <w:color w:val="000000"/>
          <w:sz w:val="32"/>
          <w:szCs w:val="32"/>
        </w:rPr>
        <w:t>（类）</w:t>
      </w:r>
      <w:r>
        <w:rPr>
          <w:rStyle w:val="15"/>
          <w:rFonts w:hint="eastAsia" w:ascii="仿宋_GB2312" w:eastAsia="仿宋_GB2312"/>
          <w:b w:val="0"/>
          <w:bCs/>
          <w:color w:val="000000"/>
          <w:sz w:val="32"/>
          <w:szCs w:val="32"/>
          <w:lang w:val="en-US" w:eastAsia="zh-CN"/>
        </w:rPr>
        <w:t>住房改革支出</w:t>
      </w:r>
      <w:r>
        <w:rPr>
          <w:rStyle w:val="15"/>
          <w:rFonts w:hint="eastAsia" w:ascii="仿宋_GB2312" w:eastAsia="仿宋_GB2312"/>
          <w:b w:val="0"/>
          <w:bCs/>
          <w:color w:val="000000"/>
          <w:sz w:val="32"/>
          <w:szCs w:val="32"/>
        </w:rPr>
        <w:t>（款）</w:t>
      </w:r>
      <w:r>
        <w:rPr>
          <w:rStyle w:val="15"/>
          <w:rFonts w:hint="eastAsia" w:ascii="仿宋_GB2312" w:eastAsia="仿宋_GB2312"/>
          <w:b w:val="0"/>
          <w:bCs/>
          <w:color w:val="000000"/>
          <w:sz w:val="32"/>
          <w:szCs w:val="32"/>
          <w:lang w:val="en-US" w:eastAsia="zh-CN"/>
        </w:rPr>
        <w:t>住房公积金</w:t>
      </w:r>
      <w:r>
        <w:rPr>
          <w:rStyle w:val="15"/>
          <w:rFonts w:hint="eastAsia" w:ascii="仿宋_GB2312" w:eastAsia="仿宋_GB2312"/>
          <w:b w:val="0"/>
          <w:bCs/>
          <w:color w:val="000000"/>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反映行政事业单位按人力资源和社会保障部、财政部规定的基本工资和津贴补贴以及规定比例为职工缴纳住房公积金</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18"/>
        <w:spacing w:line="560" w:lineRule="exact"/>
        <w:ind w:firstLine="640" w:firstLineChars="200"/>
        <w:jc w:val="both"/>
        <w:rPr>
          <w:rFonts w:ascii="仿宋_GB2312" w:eastAsia="仿宋_GB2312"/>
          <w:sz w:val="32"/>
          <w:szCs w:val="32"/>
        </w:rPr>
      </w:pPr>
      <w:r>
        <w:rPr>
          <w:rFonts w:hint="eastAsia" w:ascii="仿宋_GB2312" w:eastAsia="仿宋_GB2312"/>
          <w:color w:val="000000"/>
          <w:sz w:val="32"/>
          <w:szCs w:val="32"/>
          <w:lang w:val="en-US" w:eastAsia="zh-CN"/>
        </w:rPr>
        <w:t>11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ascii="仿宋" w:hAnsi="仿宋" w:eastAsia="仿宋"/>
          <w:b/>
          <w:color w:val="000000"/>
          <w:sz w:val="32"/>
          <w:szCs w:val="32"/>
        </w:rPr>
      </w:pPr>
      <w:bookmarkStart w:id="57" w:name="_Toc15396614"/>
      <w:bookmarkStart w:id="58" w:name="_Toc15377226"/>
    </w:p>
    <w:p>
      <w:pPr>
        <w:ind w:firstLine="642" w:firstLineChars="200"/>
        <w:rPr>
          <w:rFonts w:ascii="仿宋" w:hAnsi="仿宋" w:eastAsia="仿宋"/>
          <w:b/>
          <w:color w:val="000000"/>
          <w:sz w:val="32"/>
          <w:szCs w:val="32"/>
        </w:rPr>
      </w:pPr>
    </w:p>
    <w:p>
      <w:pPr>
        <w:ind w:firstLine="642" w:firstLineChars="200"/>
        <w:rPr>
          <w:rFonts w:ascii="仿宋" w:hAnsi="仿宋" w:eastAsia="仿宋"/>
          <w:b/>
          <w:color w:val="000000"/>
          <w:sz w:val="32"/>
          <w:szCs w:val="32"/>
        </w:rPr>
      </w:pPr>
    </w:p>
    <w:p>
      <w:pPr>
        <w:rPr>
          <w:rFonts w:hint="eastAsia" w:ascii="仿宋" w:hAnsi="仿宋" w:eastAsia="仿宋"/>
          <w:b/>
          <w:color w:val="000000"/>
          <w:sz w:val="32"/>
          <w:szCs w:val="32"/>
          <w:lang w:eastAsia="zh-CN"/>
        </w:rPr>
      </w:pPr>
    </w:p>
    <w:p>
      <w:pPr>
        <w:rPr>
          <w:rFonts w:hint="eastAsia" w:ascii="仿宋" w:hAnsi="仿宋" w:eastAsia="仿宋"/>
          <w:b/>
          <w:color w:val="000000"/>
          <w:sz w:val="32"/>
          <w:szCs w:val="32"/>
          <w:lang w:eastAsia="zh-CN"/>
        </w:rPr>
      </w:pPr>
    </w:p>
    <w:p>
      <w:pPr>
        <w:ind w:firstLine="880" w:firstLineChars="200"/>
        <w:jc w:val="center"/>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四部分 附件</w:t>
      </w:r>
      <w:bookmarkEnd w:id="57"/>
    </w:p>
    <w:p>
      <w:pPr>
        <w:spacing w:line="600" w:lineRule="exact"/>
        <w:jc w:val="center"/>
        <w:outlineLvl w:val="0"/>
        <w:rPr>
          <w:rStyle w:val="27"/>
        </w:rPr>
      </w:pPr>
    </w:p>
    <w:p>
      <w:pPr>
        <w:pStyle w:val="3"/>
        <w:rPr>
          <w:rStyle w:val="27"/>
          <w:rFonts w:ascii="仿宋" w:hAnsi="仿宋" w:eastAsia="仿宋"/>
          <w:b w:val="0"/>
          <w:bCs w:val="0"/>
          <w:sz w:val="32"/>
          <w:szCs w:val="32"/>
        </w:rPr>
      </w:pPr>
      <w:bookmarkStart w:id="59" w:name="_Toc15396615"/>
      <w:r>
        <w:rPr>
          <w:rStyle w:val="27"/>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广元市规划局</w:t>
      </w:r>
      <w:r>
        <w:rPr>
          <w:rFonts w:hint="eastAsia" w:ascii="黑体" w:hAnsi="黑体" w:eastAsia="黑体" w:cs="方正小标宋简体"/>
          <w:sz w:val="36"/>
          <w:szCs w:val="36"/>
        </w:rPr>
        <w:t>2018年部门整体支出绩效评价报告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pStyle w:val="5"/>
        <w:adjustRightInd w:val="0"/>
        <w:snapToGrid w:val="0"/>
        <w:spacing w:before="0" w:beforeLines="0" w:line="560" w:lineRule="exact"/>
        <w:ind w:firstLine="672" w:firstLineChars="210"/>
        <w:rPr>
          <w:rFonts w:ascii="仿宋" w:hAnsi="仿宋" w:eastAsia="仿宋" w:cs="仿宋_GB2312"/>
          <w:sz w:val="32"/>
          <w:szCs w:val="32"/>
        </w:rPr>
      </w:pPr>
      <w:r>
        <w:rPr>
          <w:rFonts w:hint="eastAsia"/>
          <w:color w:val="000000"/>
          <w:sz w:val="32"/>
          <w:szCs w:val="32"/>
        </w:rPr>
        <w:t>广元市城乡规划局于2015年10月30日成立</w:t>
      </w:r>
      <w:r>
        <w:rPr>
          <w:rFonts w:hint="eastAsia"/>
          <w:color w:val="000000"/>
          <w:sz w:val="32"/>
          <w:szCs w:val="32"/>
          <w:lang w:eastAsia="zh-CN"/>
        </w:rPr>
        <w:t>，</w:t>
      </w:r>
      <w:r>
        <w:rPr>
          <w:rFonts w:ascii="仿宋_GB2312" w:hAnsi="宋体" w:eastAsia="仿宋_GB2312" w:cs="仿宋_GB2312"/>
          <w:i w:val="0"/>
          <w:caps w:val="0"/>
          <w:color w:val="333333"/>
          <w:spacing w:val="0"/>
          <w:sz w:val="31"/>
          <w:szCs w:val="31"/>
          <w:shd w:val="clear" w:color="auto" w:fill="FFFFFF"/>
        </w:rPr>
        <w:t>目前下设办公室、规划编制科、建设工程规划科、建设用地规划科、市政工程规划科、村镇规划科等6个科室</w:t>
      </w:r>
      <w:r>
        <w:rPr>
          <w:rFonts w:hint="eastAsia" w:hAnsi="宋体" w:cs="仿宋_GB2312"/>
          <w:i w:val="0"/>
          <w:caps w:val="0"/>
          <w:color w:val="333333"/>
          <w:spacing w:val="0"/>
          <w:sz w:val="31"/>
          <w:szCs w:val="31"/>
          <w:shd w:val="clear" w:color="auto" w:fill="FFFFFF"/>
          <w:lang w:eastAsia="zh-CN"/>
        </w:rPr>
        <w:t>。</w:t>
      </w:r>
    </w:p>
    <w:p>
      <w:pPr>
        <w:numPr>
          <w:ilvl w:val="0"/>
          <w:numId w:val="7"/>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pPr>
        <w:pStyle w:val="5"/>
        <w:adjustRightInd w:val="0"/>
        <w:snapToGrid w:val="0"/>
        <w:spacing w:before="0" w:beforeLines="0" w:line="560" w:lineRule="exact"/>
        <w:ind w:firstLine="672" w:firstLineChars="210"/>
        <w:rPr>
          <w:rFonts w:ascii="仿宋" w:hAnsi="仿宋" w:eastAsia="仿宋" w:cs="仿宋_GB2312"/>
          <w:sz w:val="32"/>
          <w:szCs w:val="32"/>
        </w:rPr>
      </w:pPr>
      <w:r>
        <w:rPr>
          <w:rFonts w:hint="eastAsia"/>
          <w:color w:val="000000"/>
          <w:sz w:val="32"/>
          <w:szCs w:val="32"/>
        </w:rPr>
        <w:t>贯彻执行国家有关城乡规划、城市可持续发展的法律、法规和方针、政策;负责全市城乡规划管理工作;起草城乡规划的规范性文件并组织实施;依法公布、公示、公开城乡规划的有关事项。承办城市总体规划的编制、修改和报批的具体工作;组织制定、修改近期建设规划并报总体规划审批机关备案;组织编制城市控制性详细规划、重要地块的修建性详细规划;会同有关部门编制各类专项规划;负责城市雕塑和户外广告规划及技术标准的编制管理工作;负责市级以上开发区、自然保护区、风景名胜保护区和森林公园总体规划及控制性详细规划编制;会同文物主管部门编制、审核历史文化名城、名镇、名村保护规划。参与江河流域规划、区域规划、土地利用总体规划、社会经济发展规划、建设规划和用地规划的制定。负责城市规划区内建设项目的选址定点，依法核发《建设项目选址意见书》和《建设用地规划许可证》，负责提出出让地块的规划条件(含变更)和附图;负责城市规划区内建设工程的规划审批，核发《建设工程规划许可证》;负责城市规划区内建设工程的放线、验线和竣工规划核实工作。负责城市规划区内的乡镇和村庄规划管理工作，依法核发《乡村建设规划许可证》。负责城市规划区内临时建设、临时用地的规划管理工作。负责市城乡规划委员会的日常工作。承担市政府公布的有关行政审批事项。承担市政府交办的其他事项。</w:t>
      </w:r>
    </w:p>
    <w:p>
      <w:pPr>
        <w:numPr>
          <w:ilvl w:val="0"/>
          <w:numId w:val="8"/>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人员概况。</w:t>
      </w:r>
    </w:p>
    <w:p>
      <w:pPr>
        <w:pStyle w:val="5"/>
        <w:adjustRightInd w:val="0"/>
        <w:snapToGrid w:val="0"/>
        <w:spacing w:before="0" w:beforeLines="0" w:line="560" w:lineRule="exact"/>
        <w:ind w:firstLine="672" w:firstLineChars="210"/>
        <w:rPr>
          <w:rFonts w:ascii="仿宋" w:hAnsi="仿宋" w:eastAsia="仿宋" w:cs="仿宋_GB2312"/>
          <w:sz w:val="32"/>
          <w:szCs w:val="32"/>
        </w:rPr>
      </w:pPr>
      <w:r>
        <w:rPr>
          <w:rFonts w:hint="eastAsia"/>
          <w:color w:val="000000"/>
          <w:sz w:val="32"/>
          <w:szCs w:val="32"/>
        </w:rPr>
        <w:t>广元市城乡规划局</w:t>
      </w:r>
      <w:r>
        <w:rPr>
          <w:rFonts w:hint="eastAsia"/>
          <w:color w:val="000000"/>
          <w:sz w:val="32"/>
          <w:szCs w:val="32"/>
          <w:lang w:eastAsia="zh-CN"/>
        </w:rPr>
        <w:t>实有编制数</w:t>
      </w:r>
      <w:r>
        <w:rPr>
          <w:rFonts w:hint="eastAsia"/>
          <w:color w:val="000000"/>
          <w:sz w:val="32"/>
          <w:szCs w:val="32"/>
          <w:lang w:val="en-US" w:eastAsia="zh-CN"/>
        </w:rPr>
        <w:t>29名，2018年</w:t>
      </w:r>
      <w:r>
        <w:rPr>
          <w:rFonts w:hint="eastAsia"/>
          <w:color w:val="000000"/>
          <w:sz w:val="32"/>
          <w:szCs w:val="32"/>
          <w:lang w:eastAsia="zh-CN"/>
        </w:rPr>
        <w:t>在编</w:t>
      </w:r>
      <w:r>
        <w:rPr>
          <w:rFonts w:hint="eastAsia"/>
          <w:color w:val="000000"/>
          <w:sz w:val="32"/>
          <w:szCs w:val="32"/>
        </w:rPr>
        <w:t>事业单位</w:t>
      </w:r>
      <w:r>
        <w:rPr>
          <w:rFonts w:hint="eastAsia"/>
          <w:color w:val="000000"/>
          <w:sz w:val="32"/>
          <w:szCs w:val="32"/>
          <w:lang w:eastAsia="zh-CN"/>
        </w:rPr>
        <w:t>人员共计</w:t>
      </w:r>
      <w:r>
        <w:rPr>
          <w:rFonts w:hint="eastAsia"/>
          <w:color w:val="000000"/>
          <w:sz w:val="32"/>
          <w:szCs w:val="32"/>
          <w:lang w:val="en-US" w:eastAsia="zh-CN"/>
        </w:rPr>
        <w:t>29</w:t>
      </w:r>
      <w:r>
        <w:rPr>
          <w:rFonts w:hint="eastAsia"/>
          <w:color w:val="000000"/>
          <w:sz w:val="32"/>
          <w:szCs w:val="32"/>
        </w:rPr>
        <w:t>个。</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2018年广元市规划局全年收入总计1013.41万元，其中：一般公共预算财政拨款收入621.29万元，其他收入392.15万元（规划设计费收入）。</w:t>
      </w:r>
    </w:p>
    <w:p>
      <w:pPr>
        <w:numPr>
          <w:ilvl w:val="0"/>
          <w:numId w:val="9"/>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2018年广元市规划局全年支出总计545.15万元，其中：基本支出515.53万元，项目支出29.62万元。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在预算编制工作中严格按照财政部门的要求和口径编制部门预算，在预算编制中结合本部门工作实际，科学编制支出预算，优化支出结构，人员基础信息和科目使用准确，项目名称和内容规范，预算编制正确完整，无遗漏错编款项及虚报冒领款项，并在财政部门规定的时间内及时上报。</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专项</w:t>
      </w:r>
      <w:r>
        <w:rPr>
          <w:rFonts w:hint="eastAsia" w:ascii="仿宋_GB2312" w:eastAsia="仿宋_GB2312"/>
          <w:sz w:val="32"/>
          <w:szCs w:val="32"/>
        </w:rPr>
        <w:t>财政资金的使用严格执行预算，项目支出部分按项目的进展情况执行，在预算的执行中未调整过预算项目。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在财政资金管理中认真执行有关法律法规和财经制度，单位内部财务管理制度健全，预算编制完整，预算执行到位，做到了财务公开、会计核算真实、规范，没有截留、挪用财政资金、擅自扩大或缩小资金使用范围、改变资金用途等现象，未在项目申报中弄虚作假，套取财政资金，保证了专项资金专款专用。</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_GB2312" w:eastAsia="仿宋_GB2312"/>
          <w:sz w:val="32"/>
          <w:szCs w:val="32"/>
        </w:rPr>
        <w:t>在财政资金管理中认真执行有关法律法规和财经制度，单位内部财务管理制度健全，预算编制完整，预算执行到位，做到了财务公开、会计核算真实、规范，没有截留、挪用财政资金、擅自扩大或缩小资金使用范围、改变资金用途等现象，未在项目申报中弄虚作假，套取财政资金，保证了专项资金专款专用。</w:t>
      </w:r>
    </w:p>
    <w:p>
      <w:pPr>
        <w:numPr>
          <w:ilvl w:val="0"/>
          <w:numId w:val="10"/>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存在问题。</w:t>
      </w:r>
    </w:p>
    <w:p>
      <w:pPr>
        <w:widowControl w:val="0"/>
        <w:wordWrap/>
        <w:adjustRightInd/>
        <w:snapToGrid/>
        <w:spacing w:line="580" w:lineRule="exact"/>
        <w:ind w:left="0" w:leftChars="0" w:right="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部分绩效指标及目标值有待进一步细化和量化</w:t>
      </w:r>
      <w:r>
        <w:rPr>
          <w:rFonts w:hint="eastAsia" w:ascii="仿宋_GB2312" w:eastAsia="仿宋_GB2312"/>
          <w:sz w:val="32"/>
          <w:szCs w:val="32"/>
          <w:lang w:eastAsia="zh-CN"/>
        </w:rPr>
        <w:t>。</w:t>
      </w:r>
    </w:p>
    <w:p>
      <w:pPr>
        <w:widowControl w:val="0"/>
        <w:wordWrap/>
        <w:adjustRightInd/>
        <w:snapToGrid/>
        <w:spacing w:line="580" w:lineRule="exact"/>
        <w:ind w:left="0" w:leftChars="0" w:right="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尚未针对绩效考评制定比较明确的实施细则，有待进 一步完善。</w:t>
      </w:r>
    </w:p>
    <w:p>
      <w:pPr>
        <w:numPr>
          <w:ilvl w:val="0"/>
          <w:numId w:val="10"/>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改进建议。</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1. 科学合理地设置绩效指标，提高预算绩效指标的针对性和可测性，充分发挥预算绩效目标管理的导向作用。</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2. 将预算编制与部门工作有机结合，进一步强化预算执行，提升财政资金使用效益。</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3. 建立和完善部门整体支出绩效考评实施细则，提高预算绩效管理水平。</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4. 做好基础信息的收集和分析工作，建立相关数据库，为绩效指标值的设置提供有益参考。</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p>
    <w:p>
      <w:pPr>
        <w:widowControl/>
        <w:jc w:val="left"/>
        <w:rPr>
          <w:rStyle w:val="27"/>
          <w:rFonts w:ascii="仿宋" w:hAnsi="仿宋" w:eastAsia="仿宋"/>
          <w:sz w:val="32"/>
          <w:szCs w:val="32"/>
        </w:rPr>
      </w:pPr>
      <w:bookmarkStart w:id="61" w:name="_Toc15396617"/>
      <w:r>
        <w:rPr>
          <w:rStyle w:val="27"/>
          <w:rFonts w:hint="eastAsia" w:ascii="仿宋" w:hAnsi="仿宋" w:eastAsia="仿宋"/>
          <w:sz w:val="32"/>
          <w:szCs w:val="32"/>
        </w:rPr>
        <w:t>附件2</w:t>
      </w:r>
      <w:bookmarkEnd w:id="61"/>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w:t>
      </w:r>
      <w:r>
        <w:rPr>
          <w:rFonts w:hint="eastAsia" w:ascii="黑体" w:hAnsi="黑体" w:eastAsia="黑体" w:cs="方正小标宋简体"/>
          <w:sz w:val="44"/>
          <w:szCs w:val="44"/>
          <w:lang w:eastAsia="zh-CN"/>
        </w:rPr>
        <w:t>规委会工作经费</w:t>
      </w:r>
      <w:r>
        <w:rPr>
          <w:rFonts w:hint="eastAsia" w:ascii="黑体" w:hAnsi="黑体" w:eastAsia="黑体" w:cs="方正小标宋简体"/>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2018年市规委会办公室</w:t>
      </w:r>
      <w:r>
        <w:rPr>
          <w:rFonts w:hint="eastAsia" w:ascii="仿宋" w:hAnsi="仿宋" w:eastAsia="仿宋"/>
          <w:bCs/>
          <w:color w:val="000000"/>
          <w:sz w:val="32"/>
          <w:szCs w:val="32"/>
        </w:rPr>
        <w:t>共组织召开了71次专委会，11次规委会，审查、审核450余个选址、规划、建筑、市政及景观方案，同比增长近30%。</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项目绩效评价</w:t>
      </w:r>
      <w:r>
        <w:rPr>
          <w:rFonts w:hint="eastAsia" w:ascii="仿宋" w:hAnsi="仿宋" w:eastAsia="仿宋" w:cs="仿宋_GB2312"/>
          <w:sz w:val="32"/>
          <w:szCs w:val="32"/>
          <w:lang w:eastAsia="zh-CN"/>
        </w:rPr>
        <w:t>得分</w:t>
      </w:r>
      <w:r>
        <w:rPr>
          <w:rFonts w:hint="eastAsia" w:ascii="仿宋" w:hAnsi="仿宋" w:eastAsia="仿宋" w:cs="仿宋_GB2312"/>
          <w:sz w:val="32"/>
          <w:szCs w:val="32"/>
          <w:lang w:val="en-US" w:eastAsia="zh-CN"/>
        </w:rPr>
        <w:t>99分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）绩效目标情况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项目预期提供的服务、效益或其他目标明确。</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 w:hAnsi="仿宋" w:eastAsia="仿宋" w:cs="仿宋_GB2312"/>
          <w:sz w:val="32"/>
          <w:szCs w:val="32"/>
        </w:rPr>
        <w:t>决策依据情况。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项目符合</w:t>
      </w:r>
      <w:r>
        <w:rPr>
          <w:rFonts w:hint="eastAsia" w:ascii="仿宋" w:hAnsi="仿宋" w:eastAsia="仿宋" w:cs="仿宋_GB2312"/>
          <w:sz w:val="32"/>
          <w:szCs w:val="32"/>
          <w:lang w:eastAsia="zh-CN"/>
        </w:rPr>
        <w:t>市委、市政府</w:t>
      </w:r>
      <w:r>
        <w:rPr>
          <w:rFonts w:hint="eastAsia" w:ascii="仿宋" w:hAnsi="仿宋" w:eastAsia="仿宋" w:cs="仿宋_GB2312"/>
          <w:sz w:val="32"/>
          <w:szCs w:val="32"/>
        </w:rPr>
        <w:t>决策部署;符合当前经济社会发展需要。</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w:t>
      </w:r>
      <w:r>
        <w:rPr>
          <w:rFonts w:hint="eastAsia" w:ascii="仿宋" w:hAnsi="仿宋" w:eastAsia="仿宋" w:cs="仿宋_GB2312"/>
          <w:sz w:val="32"/>
          <w:szCs w:val="32"/>
        </w:rPr>
        <w:t>资金分配情况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资金分配合理，不存在虛报项目套取财政资金和不符合</w:t>
      </w:r>
    </w:p>
    <w:p>
      <w:pPr>
        <w:spacing w:line="580" w:lineRule="exact"/>
        <w:rPr>
          <w:rFonts w:hint="eastAsia" w:ascii="仿宋" w:hAnsi="仿宋" w:eastAsia="仿宋" w:cs="仿宋_GB2312"/>
          <w:sz w:val="32"/>
          <w:szCs w:val="32"/>
        </w:rPr>
      </w:pPr>
      <w:r>
        <w:rPr>
          <w:rFonts w:hint="eastAsia" w:ascii="仿宋" w:hAnsi="仿宋" w:eastAsia="仿宋" w:cs="仿宋_GB2312"/>
          <w:sz w:val="32"/>
          <w:szCs w:val="32"/>
        </w:rPr>
        <w:t>申报条件的情况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4</w:t>
      </w:r>
      <w:r>
        <w:rPr>
          <w:rFonts w:hint="eastAsia" w:ascii="仿宋" w:hAnsi="仿宋" w:eastAsia="仿宋" w:cs="仿宋_GB2312"/>
          <w:sz w:val="32"/>
          <w:szCs w:val="32"/>
          <w:lang w:eastAsia="zh-CN"/>
        </w:rPr>
        <w:t>）</w:t>
      </w:r>
      <w:r>
        <w:rPr>
          <w:rFonts w:hint="eastAsia" w:ascii="仿宋" w:hAnsi="仿宋" w:eastAsia="仿宋" w:cs="仿宋_GB2312"/>
          <w:sz w:val="32"/>
          <w:szCs w:val="32"/>
        </w:rPr>
        <w:t>分配结果情况。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资金分配方法制定、分配要素设定、基础数据应用、测</w:t>
      </w:r>
    </w:p>
    <w:p>
      <w:pPr>
        <w:spacing w:line="580" w:lineRule="exact"/>
        <w:rPr>
          <w:rFonts w:hint="eastAsia" w:ascii="仿宋" w:hAnsi="仿宋" w:eastAsia="仿宋" w:cs="仿宋_GB2312"/>
          <w:sz w:val="32"/>
          <w:szCs w:val="32"/>
        </w:rPr>
      </w:pPr>
      <w:r>
        <w:rPr>
          <w:rFonts w:hint="eastAsia" w:ascii="仿宋" w:hAnsi="仿宋" w:eastAsia="仿宋" w:cs="仿宋_GB2312"/>
          <w:sz w:val="32"/>
          <w:szCs w:val="32"/>
        </w:rPr>
        <w:t>算依据选取等科学合理</w:t>
      </w:r>
    </w:p>
    <w:p>
      <w:pPr>
        <w:numPr>
          <w:ilvl w:val="0"/>
          <w:numId w:val="0"/>
        </w:numPr>
        <w:spacing w:line="580" w:lineRule="exact"/>
        <w:rPr>
          <w:rFonts w:ascii="仿宋" w:hAnsi="仿宋" w:eastAsia="仿宋" w:cs="仿宋_GB2312"/>
          <w:sz w:val="32"/>
          <w:szCs w:val="32"/>
        </w:rPr>
      </w:pPr>
      <w:r>
        <w:rPr>
          <w:rFonts w:hint="eastAsia" w:ascii="仿宋" w:hAnsi="仿宋" w:eastAsia="仿宋" w:cs="仿宋_GB2312"/>
          <w:sz w:val="32"/>
          <w:szCs w:val="32"/>
          <w:lang w:val="en-US" w:eastAsia="zh-CN"/>
        </w:rPr>
        <w:t xml:space="preserve">   2、</w:t>
      </w:r>
      <w:r>
        <w:rPr>
          <w:rFonts w:ascii="仿宋" w:hAnsi="仿宋" w:eastAsia="仿宋" w:cs="仿宋_GB2312"/>
          <w:sz w:val="32"/>
          <w:szCs w:val="32"/>
        </w:rPr>
        <w:t>项目管理</w:t>
      </w:r>
    </w:p>
    <w:p>
      <w:pPr>
        <w:numPr>
          <w:ilvl w:val="0"/>
          <w:numId w:val="0"/>
        </w:numPr>
        <w:spacing w:line="580" w:lineRule="exact"/>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w:t>
      </w:r>
      <w:r>
        <w:rPr>
          <w:rFonts w:hint="eastAsia" w:ascii="仿宋" w:hAnsi="仿宋" w:eastAsia="仿宋" w:cs="仿宋_GB2312"/>
          <w:sz w:val="32"/>
          <w:szCs w:val="32"/>
        </w:rPr>
        <w:t>资金到位情况。</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年</w:t>
      </w:r>
      <w:r>
        <w:rPr>
          <w:rFonts w:hint="eastAsia" w:ascii="仿宋" w:hAnsi="仿宋" w:eastAsia="仿宋" w:cs="仿宋_GB2312"/>
          <w:sz w:val="32"/>
          <w:szCs w:val="32"/>
          <w:lang w:eastAsia="zh-CN"/>
        </w:rPr>
        <w:t>是财政下拨我单位规委会工作经费预算</w:t>
      </w:r>
      <w:r>
        <w:rPr>
          <w:rFonts w:hint="eastAsia" w:ascii="仿宋" w:hAnsi="仿宋" w:eastAsia="仿宋" w:cs="仿宋_GB2312"/>
          <w:sz w:val="32"/>
          <w:szCs w:val="32"/>
          <w:lang w:val="en-US" w:eastAsia="zh-CN"/>
        </w:rPr>
        <w:t>19.33万元，</w:t>
      </w:r>
      <w:r>
        <w:rPr>
          <w:rFonts w:hint="eastAsia" w:ascii="仿宋" w:hAnsi="仿宋" w:eastAsia="仿宋" w:cs="仿宋_GB2312"/>
          <w:sz w:val="32"/>
          <w:szCs w:val="32"/>
        </w:rPr>
        <w:t>金及时到位，到位</w:t>
      </w:r>
      <w:r>
        <w:rPr>
          <w:rFonts w:hint="eastAsia" w:ascii="仿宋" w:hAnsi="仿宋" w:eastAsia="仿宋" w:cs="仿宋_GB2312"/>
          <w:sz w:val="32"/>
          <w:szCs w:val="32"/>
          <w:lang w:eastAsia="zh-CN"/>
        </w:rPr>
        <w:t>率</w:t>
      </w:r>
      <w:r>
        <w:rPr>
          <w:rFonts w:hint="eastAsia" w:ascii="仿宋" w:hAnsi="仿宋" w:eastAsia="仿宋" w:cs="仿宋_GB2312"/>
          <w:sz w:val="32"/>
          <w:szCs w:val="32"/>
        </w:rPr>
        <w:t>100</w:t>
      </w:r>
      <w:r>
        <w:rPr>
          <w:rFonts w:hint="eastAsia" w:ascii="仿宋" w:hAnsi="仿宋" w:eastAsia="仿宋" w:cs="仿宋_GB2312"/>
          <w:sz w:val="32"/>
          <w:szCs w:val="32"/>
          <w:lang w:val="en-US" w:eastAsia="zh-CN"/>
        </w:rPr>
        <w:t>%。</w:t>
      </w:r>
    </w:p>
    <w:p>
      <w:pPr>
        <w:numPr>
          <w:ilvl w:val="0"/>
          <w:numId w:val="11"/>
        </w:numPr>
        <w:spacing w:line="580" w:lineRule="exact"/>
        <w:rPr>
          <w:rFonts w:hint="eastAsia" w:ascii="仿宋" w:hAnsi="仿宋" w:eastAsia="仿宋" w:cs="仿宋_GB2312"/>
          <w:sz w:val="32"/>
          <w:szCs w:val="32"/>
        </w:rPr>
      </w:pPr>
      <w:r>
        <w:rPr>
          <w:rFonts w:hint="eastAsia" w:ascii="仿宋" w:hAnsi="仿宋" w:eastAsia="仿宋" w:cs="仿宋_GB2312"/>
          <w:sz w:val="32"/>
          <w:szCs w:val="32"/>
        </w:rPr>
        <w:t>资金管理情况</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此项经费实行专散专用，严格按照相关规定支付。资金支付合法合规，资金使用率100％。</w:t>
      </w:r>
    </w:p>
    <w:p>
      <w:pPr>
        <w:numPr>
          <w:ilvl w:val="0"/>
          <w:numId w:val="0"/>
        </w:numPr>
        <w:spacing w:line="580" w:lineRule="exact"/>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w:t>
      </w:r>
      <w:r>
        <w:rPr>
          <w:rFonts w:hint="eastAsia" w:ascii="仿宋" w:hAnsi="仿宋" w:eastAsia="仿宋" w:cs="仿宋_GB2312"/>
          <w:sz w:val="32"/>
          <w:szCs w:val="32"/>
        </w:rPr>
        <w:t>财务管理情况。</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该项目资金实行专款专用，资金使用规范，严格执行相关财务管理制度，资金转付格照财务审批程序进行，会计核算结果真实、准确</w:t>
      </w:r>
      <w:r>
        <w:rPr>
          <w:rFonts w:hint="eastAsia" w:ascii="仿宋" w:hAnsi="仿宋" w:eastAsia="仿宋" w:cs="仿宋_GB2312"/>
          <w:sz w:val="32"/>
          <w:szCs w:val="32"/>
          <w:lang w:eastAsia="zh-CN"/>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lang w:eastAsia="zh-CN"/>
        </w:rPr>
        <w:t>）完成数量</w:t>
      </w:r>
    </w:p>
    <w:p>
      <w:pPr>
        <w:spacing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全年共组织召开了71次专委会，11次规委会，审查、审核450余个选址、规划、建筑、市政及景观方案。</w:t>
      </w:r>
    </w:p>
    <w:p>
      <w:pPr>
        <w:numPr>
          <w:ilvl w:val="0"/>
          <w:numId w:val="12"/>
        </w:numPr>
        <w:spacing w:line="580" w:lineRule="exact"/>
        <w:ind w:firstLine="640" w:firstLineChars="200"/>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完成质量</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符合绩效目标设定的验收标准，达到行业基准水平。</w:t>
      </w:r>
    </w:p>
    <w:p>
      <w:pPr>
        <w:numPr>
          <w:ilvl w:val="0"/>
          <w:numId w:val="12"/>
        </w:numPr>
        <w:spacing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eastAsia="zh-CN"/>
        </w:rPr>
        <w:t>完成时效</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201</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年12月31日前全部完成</w:t>
      </w:r>
      <w:r>
        <w:rPr>
          <w:rFonts w:hint="eastAsia" w:ascii="仿宋" w:hAnsi="仿宋" w:eastAsia="仿宋"/>
          <w:bCs/>
          <w:color w:val="000000"/>
          <w:sz w:val="32"/>
          <w:szCs w:val="32"/>
          <w:lang w:eastAsia="zh-CN"/>
        </w:rPr>
        <w:t>规委会工作</w:t>
      </w:r>
      <w:r>
        <w:rPr>
          <w:rFonts w:hint="eastAsia" w:ascii="仿宋" w:hAnsi="仿宋" w:eastAsia="仿宋"/>
          <w:bCs/>
          <w:color w:val="000000"/>
          <w:sz w:val="32"/>
          <w:szCs w:val="32"/>
        </w:rPr>
        <w:t>任务。</w:t>
      </w:r>
    </w:p>
    <w:p>
      <w:pPr>
        <w:numPr>
          <w:ilvl w:val="0"/>
          <w:numId w:val="12"/>
        </w:numPr>
        <w:spacing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完成成本</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在规定成本范围内完成项目。</w:t>
      </w:r>
    </w:p>
    <w:p>
      <w:pPr>
        <w:numPr>
          <w:ilvl w:val="0"/>
          <w:numId w:val="13"/>
        </w:numPr>
        <w:spacing w:line="580" w:lineRule="exact"/>
        <w:ind w:firstLine="640" w:firstLineChars="200"/>
        <w:rPr>
          <w:rFonts w:ascii="仿宋" w:hAnsi="仿宋" w:eastAsia="仿宋" w:cs="仿宋_GB2312"/>
          <w:color w:val="auto"/>
          <w:sz w:val="32"/>
          <w:szCs w:val="32"/>
        </w:rPr>
      </w:pPr>
      <w:r>
        <w:rPr>
          <w:rFonts w:ascii="仿宋" w:hAnsi="仿宋" w:eastAsia="仿宋" w:cs="仿宋_GB2312"/>
          <w:color w:val="auto"/>
          <w:sz w:val="32"/>
          <w:szCs w:val="32"/>
        </w:rPr>
        <w:t>存在主要问题</w:t>
      </w:r>
    </w:p>
    <w:p>
      <w:pPr>
        <w:widowControl w:val="0"/>
        <w:wordWrap/>
        <w:adjustRightInd/>
        <w:snapToGrid/>
        <w:spacing w:line="580" w:lineRule="exact"/>
        <w:ind w:left="0" w:leftChars="0" w:right="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（一）.</w:t>
      </w:r>
      <w:r>
        <w:rPr>
          <w:rFonts w:hint="eastAsia" w:ascii="仿宋_GB2312" w:eastAsia="仿宋_GB2312"/>
          <w:sz w:val="32"/>
          <w:szCs w:val="32"/>
        </w:rPr>
        <w:t>部分绩效指标及目标值有待进一步细化和量化</w:t>
      </w:r>
      <w:r>
        <w:rPr>
          <w:rFonts w:hint="eastAsia" w:ascii="仿宋_GB2312" w:eastAsia="仿宋_GB2312"/>
          <w:sz w:val="32"/>
          <w:szCs w:val="32"/>
          <w:lang w:eastAsia="zh-CN"/>
        </w:rPr>
        <w:t>。</w:t>
      </w:r>
    </w:p>
    <w:p>
      <w:pPr>
        <w:widowControl w:val="0"/>
        <w:wordWrap/>
        <w:adjustRightInd/>
        <w:snapToGrid/>
        <w:spacing w:line="580" w:lineRule="exact"/>
        <w:ind w:left="0" w:leftChars="0" w:right="0" w:firstLine="640" w:firstLineChars="200"/>
        <w:jc w:val="both"/>
        <w:textAlignment w:val="auto"/>
        <w:outlineLvl w:val="9"/>
        <w:rPr>
          <w:rFonts w:ascii="仿宋" w:hAnsi="仿宋" w:eastAsia="仿宋" w:cs="仿宋_GB2312"/>
          <w:color w:val="FF0000"/>
          <w:sz w:val="32"/>
          <w:szCs w:val="32"/>
        </w:rPr>
      </w:pPr>
      <w:r>
        <w:rPr>
          <w:rFonts w:hint="eastAsia" w:ascii="仿宋_GB2312" w:eastAsia="仿宋_GB2312"/>
          <w:sz w:val="32"/>
          <w:szCs w:val="32"/>
          <w:lang w:eastAsia="zh-CN"/>
        </w:rPr>
        <w:t>（二）</w:t>
      </w:r>
      <w:r>
        <w:rPr>
          <w:rFonts w:hint="eastAsia" w:ascii="仿宋_GB2312" w:eastAsia="仿宋_GB2312"/>
          <w:sz w:val="32"/>
          <w:szCs w:val="32"/>
        </w:rPr>
        <w:t>尚未针对绩效考评制定比较明确的实施细则，有待进 一步完善。</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四、相关措施建议</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 xml:space="preserve"> 科学合理地设置绩效指标，提高预算绩效指标的针对性和可测性，充分发挥预算绩效目标管理的导向作用。</w:t>
      </w:r>
    </w:p>
    <w:p>
      <w:pPr>
        <w:widowControl w:val="0"/>
        <w:numPr>
          <w:ilvl w:val="0"/>
          <w:numId w:val="0"/>
        </w:numPr>
        <w:wordWrap/>
        <w:adjustRightInd/>
        <w:snapToGrid/>
        <w:spacing w:line="580" w:lineRule="exact"/>
        <w:ind w:left="0" w:leftChars="0" w:right="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eastAsia="zh-CN"/>
        </w:rPr>
        <w:t>（二）</w:t>
      </w:r>
      <w:r>
        <w:rPr>
          <w:rFonts w:hint="eastAsia" w:ascii="仿宋" w:hAnsi="仿宋" w:eastAsia="仿宋" w:cs="仿宋_GB2312"/>
          <w:sz w:val="32"/>
          <w:szCs w:val="32"/>
        </w:rPr>
        <w:t>将预算编制与部门工作有机结合，进一步强化预算执行，提升财政资金使用效益。</w:t>
      </w:r>
    </w:p>
    <w:p>
      <w:pPr>
        <w:spacing w:line="580" w:lineRule="exact"/>
        <w:ind w:firstLine="640" w:firstLineChars="200"/>
        <w:rPr>
          <w:rFonts w:hint="eastAsia" w:ascii="仿宋" w:hAnsi="仿宋" w:eastAsia="仿宋"/>
          <w:bCs/>
          <w:color w:val="FF0000"/>
          <w:sz w:val="32"/>
          <w:szCs w:val="32"/>
          <w:lang w:eastAsia="zh-CN"/>
        </w:rPr>
      </w:pPr>
    </w:p>
    <w:p>
      <w:pPr>
        <w:spacing w:line="580" w:lineRule="exact"/>
        <w:ind w:firstLine="640" w:firstLineChars="200"/>
        <w:rPr>
          <w:rStyle w:val="27"/>
          <w:rFonts w:ascii="仿宋" w:hAnsi="仿宋" w:eastAsia="仿宋" w:cs="仿宋_GB2312"/>
          <w:b w:val="0"/>
          <w:bCs w:val="0"/>
          <w:color w:val="FF000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580" w:lineRule="exact"/>
        <w:rPr>
          <w:rStyle w:val="27"/>
          <w:rFonts w:ascii="仿宋" w:hAnsi="仿宋" w:eastAsia="仿宋" w:cs="仿宋_GB2312"/>
          <w:b w:val="0"/>
          <w:bCs w:val="0"/>
          <w:kern w:val="2"/>
          <w:sz w:val="32"/>
          <w:szCs w:val="32"/>
        </w:rPr>
      </w:pPr>
    </w:p>
    <w:p>
      <w:pPr>
        <w:spacing w:line="580" w:lineRule="exact"/>
        <w:ind w:firstLine="640" w:firstLineChars="200"/>
        <w:rPr>
          <w:rStyle w:val="27"/>
          <w:rFonts w:ascii="仿宋" w:hAnsi="仿宋" w:eastAsia="仿宋" w:cs="仿宋_GB2312"/>
          <w:b w:val="0"/>
          <w:bCs w:val="0"/>
          <w:kern w:val="2"/>
          <w:sz w:val="32"/>
          <w:szCs w:val="32"/>
        </w:rPr>
      </w:pPr>
    </w:p>
    <w:p>
      <w:pPr>
        <w:spacing w:line="600" w:lineRule="exact"/>
        <w:jc w:val="center"/>
        <w:outlineLvl w:val="0"/>
        <w:rPr>
          <w:rStyle w:val="27"/>
          <w:rFonts w:ascii="黑体" w:hAnsi="黑体" w:eastAsia="黑体"/>
          <w:b w:val="0"/>
        </w:rPr>
      </w:pPr>
      <w:bookmarkStart w:id="62"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58"/>
      <w:bookmarkEnd w:id="62"/>
    </w:p>
    <w:p>
      <w:pPr>
        <w:spacing w:line="600" w:lineRule="exact"/>
        <w:jc w:val="center"/>
        <w:outlineLvl w:val="0"/>
        <w:rPr>
          <w:rStyle w:val="27"/>
          <w:rFonts w:ascii="黑体" w:hAnsi="黑体" w:eastAsia="黑体"/>
          <w:b w:val="0"/>
        </w:rPr>
      </w:pPr>
    </w:p>
    <w:p>
      <w:pPr>
        <w:pStyle w:val="3"/>
        <w:rPr>
          <w:rFonts w:ascii="仿宋" w:hAnsi="仿宋" w:eastAsia="仿宋"/>
          <w:color w:val="000000"/>
        </w:rPr>
      </w:pPr>
      <w:bookmarkStart w:id="63"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28"/>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4"/>
    </w:p>
    <w:p>
      <w:pPr>
        <w:pStyle w:val="3"/>
        <w:rPr>
          <w:rFonts w:ascii="仿宋" w:hAnsi="仿宋" w:eastAsia="仿宋"/>
          <w:color w:val="000000"/>
        </w:rPr>
      </w:pPr>
      <w:bookmarkStart w:id="75"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2</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5D819643"/>
    <w:multiLevelType w:val="singleLevel"/>
    <w:tmpl w:val="5D819643"/>
    <w:lvl w:ilvl="0" w:tentative="0">
      <w:start w:val="2"/>
      <w:numFmt w:val="chineseCounting"/>
      <w:suff w:val="nothing"/>
      <w:lvlText w:val="（%1）"/>
      <w:lvlJc w:val="left"/>
    </w:lvl>
  </w:abstractNum>
  <w:abstractNum w:abstractNumId="7">
    <w:nsid w:val="5D819657"/>
    <w:multiLevelType w:val="singleLevel"/>
    <w:tmpl w:val="5D819657"/>
    <w:lvl w:ilvl="0" w:tentative="0">
      <w:start w:val="3"/>
      <w:numFmt w:val="chineseCounting"/>
      <w:suff w:val="nothing"/>
      <w:lvlText w:val="（%1）"/>
      <w:lvlJc w:val="left"/>
    </w:lvl>
  </w:abstractNum>
  <w:abstractNum w:abstractNumId="8">
    <w:nsid w:val="5D81976C"/>
    <w:multiLevelType w:val="singleLevel"/>
    <w:tmpl w:val="5D81976C"/>
    <w:lvl w:ilvl="0" w:tentative="0">
      <w:start w:val="2"/>
      <w:numFmt w:val="chineseCounting"/>
      <w:suff w:val="nothing"/>
      <w:lvlText w:val="（%1）"/>
      <w:lvlJc w:val="left"/>
    </w:lvl>
  </w:abstractNum>
  <w:abstractNum w:abstractNumId="9">
    <w:nsid w:val="5D8198DB"/>
    <w:multiLevelType w:val="singleLevel"/>
    <w:tmpl w:val="5D8198DB"/>
    <w:lvl w:ilvl="0" w:tentative="0">
      <w:start w:val="2"/>
      <w:numFmt w:val="chineseCounting"/>
      <w:suff w:val="nothing"/>
      <w:lvlText w:val="（%1）"/>
      <w:lvlJc w:val="left"/>
    </w:lvl>
  </w:abstractNum>
  <w:abstractNum w:abstractNumId="10">
    <w:nsid w:val="5D819EC6"/>
    <w:multiLevelType w:val="singleLevel"/>
    <w:tmpl w:val="5D819EC6"/>
    <w:lvl w:ilvl="0" w:tentative="0">
      <w:start w:val="3"/>
      <w:numFmt w:val="chineseCounting"/>
      <w:suff w:val="nothing"/>
      <w:lvlText w:val="%1、"/>
      <w:lvlJc w:val="left"/>
    </w:lvl>
  </w:abstractNum>
  <w:abstractNum w:abstractNumId="11">
    <w:nsid w:val="5D81A0DB"/>
    <w:multiLevelType w:val="singleLevel"/>
    <w:tmpl w:val="5D81A0DB"/>
    <w:lvl w:ilvl="0" w:tentative="0">
      <w:start w:val="2"/>
      <w:numFmt w:val="decimal"/>
      <w:suff w:val="nothing"/>
      <w:lvlText w:val="（%1）"/>
      <w:lvlJc w:val="left"/>
    </w:lvl>
  </w:abstractNum>
  <w:abstractNum w:abstractNumId="12">
    <w:nsid w:val="5D81A1C3"/>
    <w:multiLevelType w:val="singleLevel"/>
    <w:tmpl w:val="5D81A1C3"/>
    <w:lvl w:ilvl="0" w:tentative="0">
      <w:start w:val="2"/>
      <w:numFmt w:val="decimal"/>
      <w:suff w:val="nothing"/>
      <w:lvlText w:val="（%1）"/>
      <w:lvlJc w:val="left"/>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num>
  <w:num w:numId="8">
    <w:abstractNumId w:val="7"/>
  </w:num>
  <w:num w:numId="9">
    <w:abstractNumId w:val="8"/>
  </w:num>
  <w:num w:numId="10">
    <w:abstractNumId w:val="9"/>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6487A"/>
    <w:rsid w:val="00065F8F"/>
    <w:rsid w:val="000768F2"/>
    <w:rsid w:val="0009184B"/>
    <w:rsid w:val="0009593C"/>
    <w:rsid w:val="000B047F"/>
    <w:rsid w:val="000B5923"/>
    <w:rsid w:val="000B5A48"/>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263C9"/>
    <w:rsid w:val="00235629"/>
    <w:rsid w:val="00260C38"/>
    <w:rsid w:val="002616C0"/>
    <w:rsid w:val="002662AA"/>
    <w:rsid w:val="00280496"/>
    <w:rsid w:val="00295495"/>
    <w:rsid w:val="002B2613"/>
    <w:rsid w:val="002F1818"/>
    <w:rsid w:val="002F567B"/>
    <w:rsid w:val="003216A9"/>
    <w:rsid w:val="00336663"/>
    <w:rsid w:val="00351C25"/>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0487"/>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87188"/>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80820"/>
    <w:rsid w:val="00A91760"/>
    <w:rsid w:val="00A93B00"/>
    <w:rsid w:val="00A93C21"/>
    <w:rsid w:val="00AC3C6A"/>
    <w:rsid w:val="00AD5620"/>
    <w:rsid w:val="00AD7C1B"/>
    <w:rsid w:val="00AE16BA"/>
    <w:rsid w:val="00AE1EBE"/>
    <w:rsid w:val="00B014B0"/>
    <w:rsid w:val="00B03C9D"/>
    <w:rsid w:val="00B060AE"/>
    <w:rsid w:val="00B10517"/>
    <w:rsid w:val="00B14E76"/>
    <w:rsid w:val="00B161B8"/>
    <w:rsid w:val="00B174FE"/>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605A"/>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6A16"/>
    <w:rsid w:val="00EF77C6"/>
    <w:rsid w:val="00F05438"/>
    <w:rsid w:val="00F1361C"/>
    <w:rsid w:val="00F160C7"/>
    <w:rsid w:val="00F36D8F"/>
    <w:rsid w:val="00F417B1"/>
    <w:rsid w:val="00F602DF"/>
    <w:rsid w:val="00F81FD9"/>
    <w:rsid w:val="00F841AA"/>
    <w:rsid w:val="00FA23E8"/>
    <w:rsid w:val="00FD3CC1"/>
    <w:rsid w:val="00FF1E02"/>
    <w:rsid w:val="00FF30B4"/>
    <w:rsid w:val="01156C56"/>
    <w:rsid w:val="011D6260"/>
    <w:rsid w:val="017930F7"/>
    <w:rsid w:val="017C407C"/>
    <w:rsid w:val="01891193"/>
    <w:rsid w:val="01CA1BFC"/>
    <w:rsid w:val="01CD2B81"/>
    <w:rsid w:val="01DA571A"/>
    <w:rsid w:val="01DD2E1B"/>
    <w:rsid w:val="02855BB3"/>
    <w:rsid w:val="028717F7"/>
    <w:rsid w:val="02C93D1E"/>
    <w:rsid w:val="033B65DB"/>
    <w:rsid w:val="035C6B10"/>
    <w:rsid w:val="03BD1133"/>
    <w:rsid w:val="03C40ABE"/>
    <w:rsid w:val="03E71F77"/>
    <w:rsid w:val="04A7196A"/>
    <w:rsid w:val="04FD1ABF"/>
    <w:rsid w:val="059341B1"/>
    <w:rsid w:val="06C745AE"/>
    <w:rsid w:val="078523E2"/>
    <w:rsid w:val="07C56A4F"/>
    <w:rsid w:val="07D843EB"/>
    <w:rsid w:val="083E7612"/>
    <w:rsid w:val="0869175B"/>
    <w:rsid w:val="08A737BE"/>
    <w:rsid w:val="08F04EB8"/>
    <w:rsid w:val="092C729B"/>
    <w:rsid w:val="0A623A94"/>
    <w:rsid w:val="0A9919F0"/>
    <w:rsid w:val="0B6F3FD2"/>
    <w:rsid w:val="0BC25FDA"/>
    <w:rsid w:val="0C2272F9"/>
    <w:rsid w:val="0C815114"/>
    <w:rsid w:val="0DB7190D"/>
    <w:rsid w:val="0DD15D3A"/>
    <w:rsid w:val="0E1651AA"/>
    <w:rsid w:val="0E183F30"/>
    <w:rsid w:val="0E581497"/>
    <w:rsid w:val="0F3E048F"/>
    <w:rsid w:val="10C055FF"/>
    <w:rsid w:val="114E14F4"/>
    <w:rsid w:val="11597885"/>
    <w:rsid w:val="117C0D3F"/>
    <w:rsid w:val="12F605AB"/>
    <w:rsid w:val="13697265"/>
    <w:rsid w:val="13C82B02"/>
    <w:rsid w:val="13F13CC6"/>
    <w:rsid w:val="14111FFD"/>
    <w:rsid w:val="1518152A"/>
    <w:rsid w:val="15391A5F"/>
    <w:rsid w:val="15655DA6"/>
    <w:rsid w:val="158C3A67"/>
    <w:rsid w:val="15A54611"/>
    <w:rsid w:val="163D09A7"/>
    <w:rsid w:val="16872A06"/>
    <w:rsid w:val="16AE7042"/>
    <w:rsid w:val="16B17FC7"/>
    <w:rsid w:val="16BB723D"/>
    <w:rsid w:val="1732509D"/>
    <w:rsid w:val="17EE3251"/>
    <w:rsid w:val="185773FE"/>
    <w:rsid w:val="18DE63DD"/>
    <w:rsid w:val="19C00F4E"/>
    <w:rsid w:val="19EC5296"/>
    <w:rsid w:val="1A034EBB"/>
    <w:rsid w:val="1A0C7D49"/>
    <w:rsid w:val="1AA67F47"/>
    <w:rsid w:val="1AD35ECA"/>
    <w:rsid w:val="1B103D73"/>
    <w:rsid w:val="1B9752D1"/>
    <w:rsid w:val="1BA05BE1"/>
    <w:rsid w:val="1C12049E"/>
    <w:rsid w:val="1C407CE8"/>
    <w:rsid w:val="1C823FD5"/>
    <w:rsid w:val="1CD13D54"/>
    <w:rsid w:val="1CD736DF"/>
    <w:rsid w:val="1DA56240"/>
    <w:rsid w:val="1DF42BB2"/>
    <w:rsid w:val="1DF8703A"/>
    <w:rsid w:val="1E127BE4"/>
    <w:rsid w:val="1FBA251E"/>
    <w:rsid w:val="1FEC076E"/>
    <w:rsid w:val="2011711A"/>
    <w:rsid w:val="207150B0"/>
    <w:rsid w:val="20A5211B"/>
    <w:rsid w:val="213B1715"/>
    <w:rsid w:val="22A21F61"/>
    <w:rsid w:val="22BC2B0B"/>
    <w:rsid w:val="22EC5858"/>
    <w:rsid w:val="240371BF"/>
    <w:rsid w:val="24696049"/>
    <w:rsid w:val="24A274A8"/>
    <w:rsid w:val="24AB7DB8"/>
    <w:rsid w:val="26372DC2"/>
    <w:rsid w:val="26B14C8A"/>
    <w:rsid w:val="26C848AF"/>
    <w:rsid w:val="2709311A"/>
    <w:rsid w:val="27EA020A"/>
    <w:rsid w:val="28427DE8"/>
    <w:rsid w:val="28D6498F"/>
    <w:rsid w:val="28DD1D9B"/>
    <w:rsid w:val="299A59D2"/>
    <w:rsid w:val="29FD04D3"/>
    <w:rsid w:val="2A2655B6"/>
    <w:rsid w:val="2A63541A"/>
    <w:rsid w:val="2A9C0A77"/>
    <w:rsid w:val="2B316D6D"/>
    <w:rsid w:val="2B470F10"/>
    <w:rsid w:val="2B695F0B"/>
    <w:rsid w:val="2BCF42EC"/>
    <w:rsid w:val="2C033842"/>
    <w:rsid w:val="2C0E2ED8"/>
    <w:rsid w:val="2C231B78"/>
    <w:rsid w:val="2C7E6A0F"/>
    <w:rsid w:val="2E9D3186"/>
    <w:rsid w:val="2EEA6B08"/>
    <w:rsid w:val="2F1A3DD4"/>
    <w:rsid w:val="2FC01FE3"/>
    <w:rsid w:val="2FD9510C"/>
    <w:rsid w:val="304B79C9"/>
    <w:rsid w:val="30B20672"/>
    <w:rsid w:val="30F46B5D"/>
    <w:rsid w:val="31216728"/>
    <w:rsid w:val="31470B66"/>
    <w:rsid w:val="31645F17"/>
    <w:rsid w:val="31860DF0"/>
    <w:rsid w:val="319F7F4E"/>
    <w:rsid w:val="31FD4E11"/>
    <w:rsid w:val="323B26F8"/>
    <w:rsid w:val="326822C2"/>
    <w:rsid w:val="32904380"/>
    <w:rsid w:val="32FD27B6"/>
    <w:rsid w:val="358C62E7"/>
    <w:rsid w:val="35B20725"/>
    <w:rsid w:val="35D15757"/>
    <w:rsid w:val="36EE26AB"/>
    <w:rsid w:val="371B7CF7"/>
    <w:rsid w:val="37930C3B"/>
    <w:rsid w:val="37BC3FFD"/>
    <w:rsid w:val="37D75EAC"/>
    <w:rsid w:val="38BB6E26"/>
    <w:rsid w:val="38EF5674"/>
    <w:rsid w:val="39C1124F"/>
    <w:rsid w:val="3A1379D5"/>
    <w:rsid w:val="3A29797A"/>
    <w:rsid w:val="3AA2053D"/>
    <w:rsid w:val="3ACB4F85"/>
    <w:rsid w:val="3AE96733"/>
    <w:rsid w:val="3B0F6973"/>
    <w:rsid w:val="3B4C67D8"/>
    <w:rsid w:val="3BAD1CF4"/>
    <w:rsid w:val="3C0C3393"/>
    <w:rsid w:val="3C9541F0"/>
    <w:rsid w:val="3CD97263"/>
    <w:rsid w:val="3CF01087"/>
    <w:rsid w:val="3D6C4254"/>
    <w:rsid w:val="3DA321AF"/>
    <w:rsid w:val="3DB8304E"/>
    <w:rsid w:val="3E3671A0"/>
    <w:rsid w:val="3E995BBF"/>
    <w:rsid w:val="3EBB51FB"/>
    <w:rsid w:val="3EE96C43"/>
    <w:rsid w:val="3EF8725E"/>
    <w:rsid w:val="3EF9145C"/>
    <w:rsid w:val="3F0142EA"/>
    <w:rsid w:val="3F8548C3"/>
    <w:rsid w:val="3FFA5B87"/>
    <w:rsid w:val="402F14D9"/>
    <w:rsid w:val="40FD5971"/>
    <w:rsid w:val="412D71FD"/>
    <w:rsid w:val="4138778D"/>
    <w:rsid w:val="41AE0A50"/>
    <w:rsid w:val="41F60E45"/>
    <w:rsid w:val="42112CF3"/>
    <w:rsid w:val="42864EB0"/>
    <w:rsid w:val="43172AA0"/>
    <w:rsid w:val="4359650D"/>
    <w:rsid w:val="445676AA"/>
    <w:rsid w:val="449F0DA3"/>
    <w:rsid w:val="44BA73CE"/>
    <w:rsid w:val="4587329F"/>
    <w:rsid w:val="466C2618"/>
    <w:rsid w:val="47411377"/>
    <w:rsid w:val="47B45E32"/>
    <w:rsid w:val="47CD0F5B"/>
    <w:rsid w:val="481F54E2"/>
    <w:rsid w:val="485C5346"/>
    <w:rsid w:val="48C43A71"/>
    <w:rsid w:val="492B471A"/>
    <w:rsid w:val="494168BE"/>
    <w:rsid w:val="4A622219"/>
    <w:rsid w:val="4AA8710A"/>
    <w:rsid w:val="4B4F0B9C"/>
    <w:rsid w:val="4BB65FC2"/>
    <w:rsid w:val="4BCB5F67"/>
    <w:rsid w:val="4BDA0780"/>
    <w:rsid w:val="4C0D2254"/>
    <w:rsid w:val="4CBB5870"/>
    <w:rsid w:val="4CCD4891"/>
    <w:rsid w:val="4D1A6F0E"/>
    <w:rsid w:val="4DAF1600"/>
    <w:rsid w:val="4DE343D9"/>
    <w:rsid w:val="4E175B2C"/>
    <w:rsid w:val="4E2C0D70"/>
    <w:rsid w:val="4E5B7B02"/>
    <w:rsid w:val="4E7A454C"/>
    <w:rsid w:val="4E9F478C"/>
    <w:rsid w:val="4F265CEA"/>
    <w:rsid w:val="4F745A69"/>
    <w:rsid w:val="4F7C2E75"/>
    <w:rsid w:val="4F925019"/>
    <w:rsid w:val="4FFA6FC7"/>
    <w:rsid w:val="50186577"/>
    <w:rsid w:val="5027550C"/>
    <w:rsid w:val="502D2C99"/>
    <w:rsid w:val="505718DF"/>
    <w:rsid w:val="50B576FA"/>
    <w:rsid w:val="50E01D87"/>
    <w:rsid w:val="511E0023"/>
    <w:rsid w:val="51563A00"/>
    <w:rsid w:val="51727AAD"/>
    <w:rsid w:val="51B53A19"/>
    <w:rsid w:val="51BA3724"/>
    <w:rsid w:val="52A87B2A"/>
    <w:rsid w:val="52B54C41"/>
    <w:rsid w:val="52BB0D49"/>
    <w:rsid w:val="52F30EA2"/>
    <w:rsid w:val="52F656AA"/>
    <w:rsid w:val="53063017"/>
    <w:rsid w:val="532F6B09"/>
    <w:rsid w:val="53990737"/>
    <w:rsid w:val="53F6304F"/>
    <w:rsid w:val="54687B0A"/>
    <w:rsid w:val="547F7730"/>
    <w:rsid w:val="54AE49FC"/>
    <w:rsid w:val="55203A36"/>
    <w:rsid w:val="55396B5E"/>
    <w:rsid w:val="55521C86"/>
    <w:rsid w:val="55C909CB"/>
    <w:rsid w:val="55F62794"/>
    <w:rsid w:val="55F73A99"/>
    <w:rsid w:val="56687250"/>
    <w:rsid w:val="566C3A58"/>
    <w:rsid w:val="56BC6CDA"/>
    <w:rsid w:val="57404D35"/>
    <w:rsid w:val="57E013BB"/>
    <w:rsid w:val="58055D78"/>
    <w:rsid w:val="58160210"/>
    <w:rsid w:val="5A36150F"/>
    <w:rsid w:val="5A6545DD"/>
    <w:rsid w:val="5AC24977"/>
    <w:rsid w:val="5BED0BE1"/>
    <w:rsid w:val="5CFA2018"/>
    <w:rsid w:val="5D747763"/>
    <w:rsid w:val="5D957C98"/>
    <w:rsid w:val="5EF12152"/>
    <w:rsid w:val="5FA0576E"/>
    <w:rsid w:val="5FC559AE"/>
    <w:rsid w:val="610905C4"/>
    <w:rsid w:val="61857F0D"/>
    <w:rsid w:val="61DF3A9F"/>
    <w:rsid w:val="61F3273F"/>
    <w:rsid w:val="62A24E62"/>
    <w:rsid w:val="63180324"/>
    <w:rsid w:val="63590D8D"/>
    <w:rsid w:val="63F3350A"/>
    <w:rsid w:val="648314D0"/>
    <w:rsid w:val="6505684A"/>
    <w:rsid w:val="66001F65"/>
    <w:rsid w:val="66090676"/>
    <w:rsid w:val="66EC0C69"/>
    <w:rsid w:val="67D15A64"/>
    <w:rsid w:val="68423799"/>
    <w:rsid w:val="68D23088"/>
    <w:rsid w:val="68E27A9F"/>
    <w:rsid w:val="692A1518"/>
    <w:rsid w:val="694A3FCB"/>
    <w:rsid w:val="6A4D0376"/>
    <w:rsid w:val="6A63251A"/>
    <w:rsid w:val="6B391278"/>
    <w:rsid w:val="6B730158"/>
    <w:rsid w:val="6C08064C"/>
    <w:rsid w:val="6CA404CA"/>
    <w:rsid w:val="6D394241"/>
    <w:rsid w:val="6DE333D5"/>
    <w:rsid w:val="6E3D05EC"/>
    <w:rsid w:val="6E997680"/>
    <w:rsid w:val="6F5F3BC6"/>
    <w:rsid w:val="6FE0321B"/>
    <w:rsid w:val="704354BE"/>
    <w:rsid w:val="709A5ECC"/>
    <w:rsid w:val="70AE6D6B"/>
    <w:rsid w:val="70B544F8"/>
    <w:rsid w:val="7171012E"/>
    <w:rsid w:val="71C965BE"/>
    <w:rsid w:val="723A7B77"/>
    <w:rsid w:val="727F6FE6"/>
    <w:rsid w:val="72C154D1"/>
    <w:rsid w:val="736E0E6D"/>
    <w:rsid w:val="73843011"/>
    <w:rsid w:val="73E0372B"/>
    <w:rsid w:val="73F67ACD"/>
    <w:rsid w:val="74624BFD"/>
    <w:rsid w:val="74EA165E"/>
    <w:rsid w:val="75C735CB"/>
    <w:rsid w:val="75CD1C51"/>
    <w:rsid w:val="75CF09D8"/>
    <w:rsid w:val="76B41F4F"/>
    <w:rsid w:val="772E0594"/>
    <w:rsid w:val="77966CBE"/>
    <w:rsid w:val="77B41AF2"/>
    <w:rsid w:val="77EE09D2"/>
    <w:rsid w:val="77EE514F"/>
    <w:rsid w:val="77FB2266"/>
    <w:rsid w:val="786E0F20"/>
    <w:rsid w:val="789214E0"/>
    <w:rsid w:val="792F355C"/>
    <w:rsid w:val="797E6B5F"/>
    <w:rsid w:val="79990A0D"/>
    <w:rsid w:val="79E5308B"/>
    <w:rsid w:val="79FC2CB0"/>
    <w:rsid w:val="7A764B78"/>
    <w:rsid w:val="7AA678C6"/>
    <w:rsid w:val="7AB349DD"/>
    <w:rsid w:val="7B2C33A2"/>
    <w:rsid w:val="7B846F88"/>
    <w:rsid w:val="7BF42DEB"/>
    <w:rsid w:val="7C272341"/>
    <w:rsid w:val="7C7E74CC"/>
    <w:rsid w:val="7CCA3D48"/>
    <w:rsid w:val="7CF03F88"/>
    <w:rsid w:val="7D6464C5"/>
    <w:rsid w:val="7D6961D0"/>
    <w:rsid w:val="7D761C62"/>
    <w:rsid w:val="7DB31AC7"/>
    <w:rsid w:val="7E9114B5"/>
    <w:rsid w:val="7EA67DD6"/>
    <w:rsid w:val="7F012A6E"/>
    <w:rsid w:val="7F9035D7"/>
    <w:rsid w:val="7FAD2B87"/>
    <w:rsid w:val="9FFFD675"/>
    <w:rsid w:val="EBFFD10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unhideWhenUsed/>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0"/>
    <w:pPr>
      <w:spacing w:before="100" w:beforeAutospacing="1" w:after="100" w:afterAutospacing="1"/>
      <w:jc w:val="left"/>
    </w:pPr>
    <w:rPr>
      <w:kern w:val="0"/>
      <w:sz w:val="24"/>
      <w:szCs w:val="20"/>
    </w:rPr>
  </w:style>
  <w:style w:type="character" w:styleId="15">
    <w:name w:val="Strong"/>
    <w:basedOn w:val="14"/>
    <w:qFormat/>
    <w:uiPriority w:val="99"/>
    <w:rPr>
      <w:b/>
    </w:rPr>
  </w:style>
  <w:style w:type="character" w:styleId="16">
    <w:name w:val="page number"/>
    <w:basedOn w:val="14"/>
    <w:unhideWhenUsed/>
    <w:qFormat/>
    <w:uiPriority w:val="0"/>
    <w:rPr>
      <w:rFonts w:cs="Times New Roman"/>
    </w:rPr>
  </w:style>
  <w:style w:type="character" w:styleId="17">
    <w:name w:val="Hyperlink"/>
    <w:basedOn w:val="14"/>
    <w:unhideWhenUsed/>
    <w:qFormat/>
    <w:uiPriority w:val="99"/>
    <w:rPr>
      <w:color w:val="0000FF"/>
      <w:u w:val="single"/>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List Paragraph"/>
    <w:basedOn w:val="1"/>
    <w:qFormat/>
    <w:uiPriority w:val="34"/>
    <w:pPr>
      <w:ind w:firstLine="420" w:firstLineChars="200"/>
    </w:pPr>
  </w:style>
  <w:style w:type="paragraph" w:customStyle="1" w:styleId="20">
    <w:name w:val="TOC Heading"/>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1">
    <w:name w:val="Header Char"/>
    <w:basedOn w:val="14"/>
    <w:semiHidden/>
    <w:qFormat/>
    <w:uiPriority w:val="99"/>
    <w:rPr>
      <w:rFonts w:ascii="Times New Roman" w:hAnsi="Times New Roman"/>
      <w:sz w:val="18"/>
      <w:szCs w:val="18"/>
    </w:rPr>
  </w:style>
  <w:style w:type="character" w:customStyle="1" w:styleId="22">
    <w:name w:val="页眉 Char"/>
    <w:link w:val="9"/>
    <w:semiHidden/>
    <w:qFormat/>
    <w:locked/>
    <w:uiPriority w:val="99"/>
    <w:rPr>
      <w:sz w:val="18"/>
    </w:rPr>
  </w:style>
  <w:style w:type="character" w:customStyle="1" w:styleId="23">
    <w:name w:val="Footer Char"/>
    <w:basedOn w:val="14"/>
    <w:semiHidden/>
    <w:qFormat/>
    <w:uiPriority w:val="99"/>
    <w:rPr>
      <w:rFonts w:ascii="Times New Roman" w:hAnsi="Times New Roman"/>
      <w:sz w:val="18"/>
      <w:szCs w:val="18"/>
    </w:rPr>
  </w:style>
  <w:style w:type="character" w:customStyle="1" w:styleId="24">
    <w:name w:val="页脚 Char"/>
    <w:link w:val="8"/>
    <w:qFormat/>
    <w:locked/>
    <w:uiPriority w:val="99"/>
    <w:rPr>
      <w:sz w:val="18"/>
    </w:rPr>
  </w:style>
  <w:style w:type="character" w:customStyle="1" w:styleId="25">
    <w:name w:val="Body Text Char"/>
    <w:basedOn w:val="14"/>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character" w:customStyle="1" w:styleId="27">
    <w:name w:val="标题 1 Char"/>
    <w:basedOn w:val="14"/>
    <w:link w:val="2"/>
    <w:qFormat/>
    <w:uiPriority w:val="9"/>
    <w:rPr>
      <w:rFonts w:ascii="Times New Roman" w:hAnsi="Times New Roman"/>
      <w:b/>
      <w:bCs/>
      <w:kern w:val="44"/>
      <w:sz w:val="44"/>
      <w:szCs w:val="44"/>
    </w:rPr>
  </w:style>
  <w:style w:type="character" w:customStyle="1" w:styleId="28">
    <w:name w:val="标题 2 Char"/>
    <w:basedOn w:val="14"/>
    <w:link w:val="3"/>
    <w:qFormat/>
    <w:uiPriority w:val="9"/>
    <w:rPr>
      <w:rFonts w:ascii="Cambria" w:hAnsi="Cambria" w:eastAsia="宋体" w:cs="黑体"/>
      <w:b/>
      <w:bCs/>
      <w:kern w:val="2"/>
      <w:sz w:val="32"/>
      <w:szCs w:val="32"/>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1431</Words>
  <Characters>8161</Characters>
  <Lines>68</Lines>
  <Paragraphs>19</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uos</cp:lastModifiedBy>
  <cp:lastPrinted>2019-09-26T10:09:00Z</cp:lastPrinted>
  <dcterms:modified xsi:type="dcterms:W3CDTF">2021-05-22T11:36:27Z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9DB7DDB3B89D43948212E064FE85A841</vt:lpwstr>
  </property>
</Properties>
</file>