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96597"/>
      <w:bookmarkStart w:id="3" w:name="_Toc15377425"/>
      <w:bookmarkStart w:id="4" w:name="_Toc15378441"/>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194"/>
      <w:bookmarkStart w:id="7" w:name="_Toc15396476"/>
      <w:bookmarkStart w:id="8" w:name="_Toc15378442"/>
      <w:bookmarkStart w:id="9" w:name="_Toc15377426"/>
      <w:bookmarkStart w:id="10" w:name="_Toc15396598"/>
      <w:r>
        <w:rPr>
          <w:rFonts w:hint="eastAsia" w:ascii="方正小标宋简体" w:hAnsi="宋体" w:eastAsia="方正小标宋简体"/>
          <w:color w:val="000000"/>
          <w:sz w:val="72"/>
          <w:szCs w:val="72"/>
          <w:lang w:eastAsia="zh-CN"/>
        </w:rPr>
        <w:t>广元市</w:t>
      </w:r>
      <w:bookmarkEnd w:id="0"/>
      <w:bookmarkStart w:id="11" w:name="_Toc15306268"/>
      <w:r>
        <w:rPr>
          <w:rFonts w:hint="eastAsia" w:ascii="方正小标宋简体" w:hAnsi="宋体" w:eastAsia="方正小标宋简体"/>
          <w:color w:val="000000"/>
          <w:sz w:val="72"/>
          <w:szCs w:val="72"/>
          <w:lang w:eastAsia="zh-CN"/>
        </w:rPr>
        <w:t>城乡规划局</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bookmarkStart w:id="12" w:name="_Toc15377196"/>
      <w:bookmarkStart w:id="13" w:name="_Toc15396599"/>
      <w:r>
        <w:rPr>
          <w:rFonts w:hint="eastAsia" w:ascii="黑体" w:hAnsi="黑体" w:eastAsia="黑体"/>
          <w:color w:val="000000"/>
          <w:sz w:val="48"/>
          <w:szCs w:val="48"/>
        </w:rPr>
        <w:t>目录</w:t>
      </w:r>
    </w:p>
    <w:p>
      <w:pPr>
        <w:widowControl/>
        <w:jc w:val="center"/>
        <w:rPr>
          <w:rFonts w:ascii="黑体" w:hAnsi="黑体" w:eastAsia="黑体" w:cs="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
      <w:pPr>
        <w:pStyle w:val="10"/>
        <w:rPr>
          <w:rFonts w:cs="黑体"/>
        </w:rPr>
      </w:pPr>
      <w:r>
        <w:fldChar w:fldCharType="begin"/>
      </w:r>
      <w:r>
        <w:instrText xml:space="preserve">HYPERLINK  \l "_Toc15396599" </w:instrText>
      </w:r>
      <w:r>
        <w:fldChar w:fldCharType="separate"/>
      </w:r>
      <w:r>
        <w:rPr>
          <w:rStyle w:val="16"/>
          <w:rFonts w:hint="eastAsia"/>
        </w:rPr>
        <w:t>第一部分部门概况</w:t>
      </w:r>
      <w:r>
        <w:tab/>
      </w:r>
      <w:r>
        <w:rPr>
          <w:rFonts w:hint="eastAsia"/>
          <w:lang w:val="en-US" w:eastAsia="zh-CN"/>
        </w:rPr>
        <w:t>1</w:t>
      </w:r>
      <w:r>
        <w:fldChar w:fldCharType="end"/>
      </w:r>
    </w:p>
    <w:p>
      <w:pPr>
        <w:pStyle w:val="11"/>
        <w:rPr>
          <w:rFonts w:ascii="仿宋" w:hAnsi="仿宋" w:eastAsia="仿宋" w:cs="黑体"/>
          <w:sz w:val="28"/>
          <w:szCs w:val="28"/>
        </w:rPr>
      </w:pPr>
      <w:r>
        <w:fldChar w:fldCharType="begin"/>
      </w:r>
      <w:r>
        <w:instrText xml:space="preserve">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cs="Times New Roman"/>
          <w:kern w:val="2"/>
          <w:sz w:val="28"/>
          <w:szCs w:val="28"/>
          <w:lang w:val="en-US" w:eastAsia="zh-CN" w:bidi="ar-SA"/>
        </w:rPr>
        <w:t>1</w:t>
      </w:r>
      <w:r>
        <w:fldChar w:fldCharType="end"/>
      </w:r>
    </w:p>
    <w:p>
      <w:pPr>
        <w:pStyle w:val="11"/>
        <w:rPr>
          <w:rFonts w:ascii="仿宋" w:hAnsi="仿宋" w:eastAsia="仿宋" w:cs="黑体"/>
          <w:sz w:val="28"/>
          <w:szCs w:val="28"/>
        </w:rPr>
      </w:pPr>
      <w:r>
        <w:fldChar w:fldCharType="begin"/>
      </w:r>
      <w:r>
        <w:instrText xml:space="preserve">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cs="Times New Roman"/>
          <w:kern w:val="2"/>
          <w:sz w:val="28"/>
          <w:szCs w:val="28"/>
          <w:lang w:val="en-US" w:eastAsia="zh-CN" w:bidi="ar-SA"/>
        </w:rPr>
        <w:t>5</w:t>
      </w:r>
      <w:r>
        <w:fldChar w:fldCharType="end"/>
      </w:r>
    </w:p>
    <w:p>
      <w:pPr>
        <w:pStyle w:val="1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HYPERLINK  \l "_Toc15396602"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第二部分 201</w:t>
      </w:r>
      <w:r>
        <w:rPr>
          <w:rFonts w:hint="eastAsia" w:cs="Times New Roman"/>
          <w:kern w:val="2"/>
          <w:sz w:val="28"/>
          <w:szCs w:val="28"/>
          <w:lang w:val="en-US" w:eastAsia="zh-CN" w:bidi="ar-SA"/>
        </w:rPr>
        <w:t>9</w:t>
      </w:r>
      <w:r>
        <w:rPr>
          <w:rFonts w:hint="eastAsia" w:ascii="仿宋" w:hAnsi="仿宋" w:eastAsia="仿宋" w:cs="Times New Roman"/>
          <w:kern w:val="2"/>
          <w:sz w:val="28"/>
          <w:szCs w:val="28"/>
          <w:lang w:val="en-US" w:eastAsia="zh-CN" w:bidi="ar-SA"/>
        </w:rPr>
        <w:t>年度部门决算情况说明</w:t>
      </w:r>
      <w:r>
        <w:rPr>
          <w:rFonts w:hint="eastAsia" w:ascii="仿宋" w:hAnsi="仿宋" w:eastAsia="仿宋" w:cs="Times New Roman"/>
          <w:kern w:val="2"/>
          <w:sz w:val="28"/>
          <w:szCs w:val="28"/>
          <w:lang w:val="en-US" w:eastAsia="zh-CN" w:bidi="ar-SA"/>
        </w:rPr>
        <w:tab/>
      </w:r>
      <w:r>
        <w:rPr>
          <w:rFonts w:hint="eastAsia" w:cs="Times New Roman"/>
          <w:kern w:val="2"/>
          <w:sz w:val="28"/>
          <w:szCs w:val="28"/>
          <w:lang w:val="en-US" w:eastAsia="zh-CN" w:bidi="ar-SA"/>
        </w:rPr>
        <w:t>6</w:t>
      </w:r>
      <w:r>
        <w:rPr>
          <w:rFonts w:hint="eastAsia" w:ascii="仿宋" w:hAnsi="仿宋" w:eastAsia="仿宋" w:cs="Times New Roman"/>
          <w:kern w:val="2"/>
          <w:sz w:val="28"/>
          <w:szCs w:val="28"/>
          <w:lang w:val="en-US" w:eastAsia="zh-CN" w:bidi="ar-SA"/>
        </w:rPr>
        <w:fldChar w:fldCharType="end"/>
      </w:r>
    </w:p>
    <w:p>
      <w:pPr>
        <w:pStyle w:val="11"/>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HYPERLINK  \l "_Toc15396603"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一、收入支出决算总体情况说明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6</w:t>
      </w:r>
    </w:p>
    <w:p>
      <w:pPr>
        <w:pStyle w:val="11"/>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HYPERLINK  \l "_Toc15396604"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二、收入决算情况说明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6</w:t>
      </w:r>
    </w:p>
    <w:p>
      <w:pPr>
        <w:pStyle w:val="11"/>
        <w:rPr>
          <w:rFonts w:ascii="仿宋" w:hAnsi="仿宋" w:eastAsia="仿宋" w:cs="黑体"/>
          <w:sz w:val="28"/>
          <w:szCs w:val="28"/>
        </w:rPr>
      </w:pP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HYPERLINK  \l "_Toc15396605"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三、支出决算情况说明</w:t>
      </w:r>
      <w:r>
        <w:rPr>
          <w:rFonts w:hint="eastAsia"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6</w:t>
      </w:r>
    </w:p>
    <w:p>
      <w:pPr>
        <w:pStyle w:val="11"/>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"_Toc15396606"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四、财政拨款收入支出决算总体情况说明</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6</w:t>
      </w:r>
    </w:p>
    <w:p>
      <w:pPr>
        <w:pStyle w:val="11"/>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"_Toc15396607"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五、一般公共预算财政拨款支出决算情况说明</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7</w:t>
      </w:r>
    </w:p>
    <w:p>
      <w:pPr>
        <w:pStyle w:val="11"/>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"_Toc15396608"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六、一般公共预算财政拨款基本支出决算情况说明</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8</w:t>
      </w:r>
    </w:p>
    <w:p>
      <w:pPr>
        <w:pStyle w:val="11"/>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"_Toc15396609"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七、</w:t>
      </w:r>
      <w:r>
        <w:rPr>
          <w:rFonts w:ascii="仿宋" w:hAnsi="仿宋" w:eastAsia="仿宋" w:cs="Times New Roman"/>
          <w:kern w:val="2"/>
          <w:sz w:val="28"/>
          <w:szCs w:val="28"/>
          <w:lang w:val="en-US" w:eastAsia="zh-CN" w:bidi="ar-SA"/>
        </w:rPr>
        <w:t>“</w:t>
      </w:r>
      <w:r>
        <w:rPr>
          <w:rFonts w:hint="eastAsia" w:ascii="仿宋" w:hAnsi="仿宋" w:eastAsia="仿宋" w:cs="Times New Roman"/>
          <w:kern w:val="2"/>
          <w:sz w:val="28"/>
          <w:szCs w:val="28"/>
          <w:lang w:val="en-US" w:eastAsia="zh-CN" w:bidi="ar-SA"/>
        </w:rPr>
        <w:t>三公”经费财政拨款支出决算情况说明</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8</w:t>
      </w:r>
    </w:p>
    <w:p>
      <w:pPr>
        <w:pStyle w:val="11"/>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"_Toc15396610"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八、政府性基金预算支出决算情况说明</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9</w:t>
      </w:r>
      <w:r>
        <w:rPr>
          <w:rFonts w:ascii="仿宋" w:hAnsi="仿宋" w:eastAsia="仿宋" w:cs="Times New Roman"/>
          <w:kern w:val="2"/>
          <w:sz w:val="28"/>
          <w:szCs w:val="28"/>
          <w:lang w:val="en-US" w:eastAsia="zh-CN" w:bidi="ar-SA"/>
        </w:rPr>
        <w:fldChar w:fldCharType="end"/>
      </w:r>
    </w:p>
    <w:p>
      <w:pPr>
        <w:pStyle w:val="11"/>
        <w:rPr>
          <w:rFonts w:hint="eastAsia"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"_Toc15396611"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九、 国有资本经营预算支出决算情况说明</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9</w:t>
      </w:r>
    </w:p>
    <w:p>
      <w:pPr>
        <w:pStyle w:val="1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   </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"_Toc15396613"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十、 其他重要事项的情况说明</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 PAGEREF _Toc15396613 \h </w:instrText>
      </w:r>
      <w:r>
        <w:rPr>
          <w:rFonts w:ascii="仿宋" w:hAnsi="仿宋" w:eastAsia="仿宋" w:cs="Times New Roman"/>
          <w:kern w:val="2"/>
          <w:sz w:val="28"/>
          <w:szCs w:val="28"/>
          <w:lang w:val="en-US" w:eastAsia="zh-CN" w:bidi="ar-SA"/>
        </w:rPr>
        <w:fldChar w:fldCharType="separate"/>
      </w:r>
      <w:r>
        <w:rPr>
          <w:rFonts w:ascii="仿宋" w:hAnsi="仿宋" w:eastAsia="仿宋" w:cs="Times New Roman"/>
          <w:kern w:val="2"/>
          <w:sz w:val="28"/>
          <w:szCs w:val="28"/>
          <w:lang w:val="en-US" w:eastAsia="zh-CN" w:bidi="ar-SA"/>
        </w:rPr>
        <w:t>1</w:t>
      </w:r>
      <w:r>
        <w:rPr>
          <w:rFonts w:hint="eastAsia" w:cs="Times New Roman"/>
          <w:kern w:val="2"/>
          <w:sz w:val="28"/>
          <w:szCs w:val="28"/>
          <w:lang w:val="en-US" w:eastAsia="zh-CN" w:bidi="ar-SA"/>
        </w:rPr>
        <w:t>0</w:t>
      </w:r>
      <w:r>
        <w:rPr>
          <w:rFonts w:ascii="仿宋" w:hAnsi="仿宋" w:eastAsia="仿宋" w:cs="Times New Roman"/>
          <w:kern w:val="2"/>
          <w:sz w:val="28"/>
          <w:szCs w:val="28"/>
          <w:lang w:val="en-US" w:eastAsia="zh-CN" w:bidi="ar-SA"/>
        </w:rPr>
        <w:fldChar w:fldCharType="end"/>
      </w:r>
      <w:r>
        <w:rPr>
          <w:rFonts w:ascii="仿宋" w:hAnsi="仿宋" w:eastAsia="仿宋" w:cs="Times New Roman"/>
          <w:kern w:val="2"/>
          <w:sz w:val="28"/>
          <w:szCs w:val="28"/>
          <w:lang w:val="en-US" w:eastAsia="zh-CN" w:bidi="ar-SA"/>
        </w:rPr>
        <w:fldChar w:fldCharType="end"/>
      </w:r>
    </w:p>
    <w:p>
      <w:pPr>
        <w:pStyle w:val="10"/>
        <w:rPr>
          <w:rFonts w:cs="黑体"/>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"_Toc15396613"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第三部分 名词解释</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15</w:t>
      </w:r>
    </w:p>
    <w:p>
      <w:pPr>
        <w:pStyle w:val="10"/>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"_Toc15396614"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第四部分附件</w:t>
      </w:r>
      <w:r>
        <w:rPr>
          <w:rFonts w:ascii="仿宋" w:hAnsi="仿宋" w:eastAsia="仿宋" w:cs="Times New Roman"/>
          <w:kern w:val="2"/>
          <w:sz w:val="28"/>
          <w:szCs w:val="28"/>
          <w:lang w:val="en-US" w:eastAsia="zh-CN" w:bidi="ar-SA"/>
        </w:rPr>
        <w:tab/>
      </w:r>
      <w:r>
        <w:rPr>
          <w:rFonts w:hint="eastAsia" w:cs="Times New Roman"/>
          <w:kern w:val="2"/>
          <w:sz w:val="28"/>
          <w:szCs w:val="28"/>
          <w:lang w:val="en-US" w:eastAsia="zh-CN" w:bidi="ar-SA"/>
        </w:rPr>
        <w:t>1</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7</w:t>
      </w:r>
    </w:p>
    <w:p>
      <w:pPr>
        <w:pStyle w:val="10"/>
        <w:rPr>
          <w:rFonts w:ascii="仿宋" w:hAnsi="仿宋" w:eastAsia="仿宋" w:cs="黑体"/>
          <w:sz w:val="28"/>
          <w:szCs w:val="28"/>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"_Toc15396615"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附件</w:t>
      </w:r>
      <w:r>
        <w:rPr>
          <w:rFonts w:ascii="仿宋" w:hAnsi="仿宋" w:eastAsia="仿宋" w:cs="Times New Roman"/>
          <w:kern w:val="2"/>
          <w:sz w:val="28"/>
          <w:szCs w:val="28"/>
          <w:lang w:val="en-US" w:eastAsia="zh-CN" w:bidi="ar-SA"/>
        </w:rPr>
        <w:tab/>
      </w:r>
      <w:r>
        <w:rPr>
          <w:rFonts w:hint="eastAsia" w:cs="Times New Roman"/>
          <w:kern w:val="2"/>
          <w:sz w:val="28"/>
          <w:szCs w:val="28"/>
          <w:lang w:val="en-US" w:eastAsia="zh-CN" w:bidi="ar-SA"/>
        </w:rPr>
        <w:t>1</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7</w:t>
      </w:r>
    </w:p>
    <w:p>
      <w:pPr>
        <w:pStyle w:val="10"/>
        <w:rPr>
          <w:rFonts w:ascii="仿宋" w:hAnsi="仿宋" w:eastAsia="仿宋" w:cs="Times New Roman"/>
          <w:kern w:val="2"/>
          <w:sz w:val="28"/>
          <w:szCs w:val="28"/>
          <w:lang w:val="en-US" w:eastAsia="zh-CN" w:bidi="ar-SA"/>
        </w:rPr>
      </w:pPr>
    </w:p>
    <w:p>
      <w:pPr>
        <w:pStyle w:val="10"/>
        <w:rPr>
          <w:rFonts w:ascii="仿宋" w:hAnsi="仿宋" w:eastAsia="仿宋" w:cs="Times New Roman"/>
          <w:kern w:val="2"/>
          <w:sz w:val="28"/>
          <w:szCs w:val="28"/>
          <w:lang w:val="en-US" w:eastAsia="zh-CN" w:bidi="ar-SA"/>
        </w:rPr>
      </w:pP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"_Toc15396618"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第五部分附表</w:t>
      </w:r>
      <w:r>
        <w:rPr>
          <w:rFonts w:ascii="仿宋" w:hAnsi="仿宋" w:eastAsia="仿宋" w:cs="Times New Roman"/>
          <w:kern w:val="2"/>
          <w:sz w:val="28"/>
          <w:szCs w:val="28"/>
          <w:lang w:val="en-US" w:eastAsia="zh-CN" w:bidi="ar-SA"/>
        </w:rPr>
        <w:tab/>
      </w:r>
      <w:r>
        <w:rPr>
          <w:rFonts w:hint="eastAsia"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"_Toc15396619"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收入支出决算总表</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 PAGEREF _Toc15396619 \h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2</w:t>
      </w:r>
      <w:r>
        <w:rPr>
          <w:rFonts w:hint="eastAsia" w:cs="Times New Roman"/>
          <w:kern w:val="2"/>
          <w:sz w:val="28"/>
          <w:szCs w:val="28"/>
          <w:lang w:val="en-US" w:eastAsia="zh-CN" w:bidi="ar-SA"/>
        </w:rPr>
        <w:t>1</w:t>
      </w:r>
      <w:r>
        <w:rPr>
          <w:rFonts w:ascii="仿宋" w:hAnsi="仿宋" w:eastAsia="仿宋" w:cs="Times New Roman"/>
          <w:kern w:val="2"/>
          <w:sz w:val="28"/>
          <w:szCs w:val="28"/>
          <w:lang w:val="en-US" w:eastAsia="zh-CN" w:bidi="ar-SA"/>
        </w:rPr>
        <w:fldChar w:fldCharType="end"/>
      </w:r>
      <w:r>
        <w:rPr>
          <w:rFonts w:ascii="仿宋" w:hAnsi="仿宋" w:eastAsia="仿宋" w:cs="Times New Roman"/>
          <w:kern w:val="2"/>
          <w:sz w:val="28"/>
          <w:szCs w:val="28"/>
          <w:lang w:val="en-US" w:eastAsia="zh-CN" w:bidi="ar-SA"/>
        </w:rPr>
        <w:fldChar w:fldCharType="end"/>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"_Toc15396620"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收入总表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"_Toc15396621"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支出总表</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 PAGEREF _Toc15396621 \h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"_Toc15396622"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财政拨款收入支出决算总表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"_Toc15396623"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财政拨款支出决算明细表（政府经济分类科目）</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"_Toc15396624"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一般公共预算财政拨款支出决算表</w:t>
      </w:r>
      <w:r>
        <w:rPr>
          <w:rFonts w:ascii="仿宋" w:hAnsi="仿宋" w:eastAsia="仿宋" w:cs="Times New Roman"/>
          <w:kern w:val="2"/>
          <w:sz w:val="28"/>
          <w:szCs w:val="28"/>
          <w:lang w:val="en-US" w:eastAsia="zh-CN" w:bidi="ar-SA"/>
        </w:rPr>
        <w:tab/>
      </w:r>
      <w:r>
        <w:rPr>
          <w:rFonts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2</w:t>
      </w:r>
      <w:r>
        <w:rPr>
          <w:rFonts w:hint="eastAsia" w:cs="Times New Roman"/>
          <w:kern w:val="2"/>
          <w:sz w:val="28"/>
          <w:szCs w:val="28"/>
          <w:lang w:val="en-US" w:eastAsia="zh-CN" w:bidi="ar-SA"/>
        </w:rPr>
        <w:t>1</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"_Toc15396625"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一般公共预算财政拨款支出决算明细表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"_Toc15396626"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一般公共预算财政拨款基本支出决算表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九、</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"_Toc15396627"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一般公共预算财政拨款项目支出决算表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"_Toc15396628"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一般公共预算财政拨款“三公”经费支出决算表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十一、</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"_Toc15396629"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政府性基金预算财政拨款收入支出决算表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w:t>
      </w:r>
    </w:p>
    <w:p>
      <w:pPr>
        <w:pStyle w:val="11"/>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十二、</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"_Toc15396630"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政府性基金预算财政拨款“三公”经费支出决算表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w:t>
      </w:r>
    </w:p>
    <w:p>
      <w:pPr>
        <w:pStyle w:val="11"/>
        <w:rPr>
          <w:rFonts w:ascii="仿宋" w:hAnsi="仿宋" w:eastAsia="仿宋" w:cs="黑体"/>
          <w:sz w:val="24"/>
        </w:rPr>
      </w:pPr>
      <w:r>
        <w:rPr>
          <w:rFonts w:hint="eastAsia" w:ascii="仿宋" w:hAnsi="仿宋" w:eastAsia="仿宋" w:cs="Times New Roman"/>
          <w:kern w:val="2"/>
          <w:sz w:val="28"/>
          <w:szCs w:val="28"/>
          <w:lang w:val="en-US" w:eastAsia="zh-CN" w:bidi="ar-SA"/>
        </w:rPr>
        <w:t>十三、</w:t>
      </w:r>
      <w:r>
        <w:rPr>
          <w:rFonts w:ascii="仿宋" w:hAnsi="仿宋" w:eastAsia="仿宋" w:cs="Times New Roman"/>
          <w:kern w:val="2"/>
          <w:sz w:val="28"/>
          <w:szCs w:val="28"/>
          <w:lang w:val="en-US" w:eastAsia="zh-CN" w:bidi="ar-SA"/>
        </w:rPr>
        <w:fldChar w:fldCharType="begin"/>
      </w:r>
      <w:r>
        <w:rPr>
          <w:rFonts w:ascii="仿宋" w:hAnsi="仿宋" w:eastAsia="仿宋" w:cs="Times New Roman"/>
          <w:kern w:val="2"/>
          <w:sz w:val="28"/>
          <w:szCs w:val="28"/>
          <w:lang w:val="en-US" w:eastAsia="zh-CN" w:bidi="ar-SA"/>
        </w:rPr>
        <w:instrText xml:space="preserve">HYPERLINK  \l "_Toc15396631" </w:instrText>
      </w:r>
      <w:r>
        <w:rPr>
          <w:rFonts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国有资本经营预算支出决算表</w:t>
      </w:r>
      <w:r>
        <w:rPr>
          <w:rFonts w:ascii="仿宋" w:hAnsi="仿宋" w:eastAsia="仿宋" w:cs="Times New Roman"/>
          <w:kern w:val="2"/>
          <w:sz w:val="28"/>
          <w:szCs w:val="28"/>
          <w:lang w:val="en-US" w:eastAsia="zh-CN" w:bidi="ar-SA"/>
        </w:rPr>
        <w:tab/>
      </w:r>
      <w:r>
        <w:rPr>
          <w:rFonts w:hint="eastAsia" w:ascii="仿宋" w:hAnsi="仿宋" w:eastAsia="仿宋" w:cs="Times New Roman"/>
          <w:kern w:val="2"/>
          <w:sz w:val="28"/>
          <w:szCs w:val="28"/>
          <w:lang w:val="en-US" w:eastAsia="zh-CN" w:bidi="ar-SA"/>
        </w:rPr>
        <w:t>2</w:t>
      </w:r>
      <w:r>
        <w:rPr>
          <w:rFonts w:ascii="仿宋" w:hAnsi="仿宋" w:eastAsia="仿宋" w:cs="Times New Roman"/>
          <w:kern w:val="2"/>
          <w:sz w:val="28"/>
          <w:szCs w:val="28"/>
          <w:lang w:val="en-US" w:eastAsia="zh-CN" w:bidi="ar-SA"/>
        </w:rPr>
        <w:fldChar w:fldCharType="end"/>
      </w:r>
      <w:r>
        <w:rPr>
          <w:rFonts w:hint="eastAsia" w:cs="Times New Roman"/>
          <w:kern w:val="2"/>
          <w:sz w:val="28"/>
          <w:szCs w:val="28"/>
          <w:lang w:val="en-US" w:eastAsia="zh-CN" w:bidi="ar-SA"/>
        </w:rPr>
        <w:t>1</w:t>
      </w:r>
    </w:p>
    <w:p>
      <w:pPr>
        <w:widowControl/>
        <w:spacing w:line="440" w:lineRule="exact"/>
        <w:jc w:val="left"/>
        <w:rPr>
          <w:rFonts w:ascii="仿宋" w:hAnsi="仿宋" w:eastAsia="仿宋"/>
          <w:color w:val="000000"/>
          <w:sz w:val="24"/>
        </w:rPr>
      </w:pPr>
      <w:r>
        <w:rPr>
          <w:rFonts w:ascii="仿宋" w:hAnsi="仿宋" w:eastAsia="仿宋"/>
          <w:color w:val="000000"/>
          <w:sz w:val="24"/>
        </w:rPr>
        <w:fldChar w:fldCharType="end"/>
      </w:r>
    </w:p>
    <w:p>
      <w:pPr>
        <w:widowControl/>
        <w:spacing w:line="440" w:lineRule="exact"/>
        <w:jc w:val="left"/>
        <w:rPr>
          <w:rFonts w:ascii="仿宋" w:hAnsi="仿宋" w:eastAsia="仿宋"/>
          <w:color w:val="000000"/>
          <w:sz w:val="24"/>
        </w:rPr>
      </w:pPr>
    </w:p>
    <w:p>
      <w:pPr>
        <w:widowControl/>
        <w:spacing w:line="440" w:lineRule="exact"/>
        <w:jc w:val="left"/>
        <w:rPr>
          <w:rFonts w:ascii="仿宋" w:hAnsi="仿宋" w:eastAsia="仿宋"/>
          <w:color w:val="000000"/>
          <w:sz w:val="24"/>
        </w:rPr>
      </w:pPr>
    </w:p>
    <w:p>
      <w:pPr>
        <w:widowControl/>
        <w:spacing w:line="440" w:lineRule="exact"/>
        <w:jc w:val="left"/>
        <w:rPr>
          <w:rFonts w:ascii="仿宋" w:hAnsi="仿宋" w:eastAsia="仿宋"/>
          <w:color w:val="000000"/>
          <w:sz w:val="24"/>
        </w:rPr>
      </w:pPr>
    </w:p>
    <w:p>
      <w:pPr>
        <w:widowControl/>
        <w:spacing w:line="440" w:lineRule="exact"/>
        <w:jc w:val="left"/>
        <w:rPr>
          <w:rFonts w:ascii="仿宋" w:hAnsi="仿宋" w:eastAsia="仿宋"/>
          <w:color w:val="000000"/>
          <w:sz w:val="24"/>
        </w:rPr>
      </w:pPr>
    </w:p>
    <w:p>
      <w:pPr>
        <w:widowControl/>
        <w:spacing w:line="440" w:lineRule="exact"/>
        <w:jc w:val="left"/>
        <w:rPr>
          <w:rFonts w:ascii="仿宋" w:hAnsi="仿宋" w:eastAsia="仿宋"/>
          <w:color w:val="000000"/>
          <w:sz w:val="24"/>
        </w:rPr>
      </w:pPr>
    </w:p>
    <w:p>
      <w:pPr>
        <w:widowControl/>
        <w:spacing w:line="440" w:lineRule="exact"/>
        <w:jc w:val="left"/>
        <w:rPr>
          <w:rFonts w:ascii="仿宋" w:hAnsi="仿宋" w:eastAsia="仿宋"/>
          <w:color w:val="000000"/>
          <w:sz w:val="24"/>
        </w:rPr>
      </w:pPr>
    </w:p>
    <w:p>
      <w:pPr>
        <w:widowControl/>
        <w:spacing w:line="440" w:lineRule="exact"/>
        <w:jc w:val="left"/>
        <w:rPr>
          <w:rFonts w:ascii="仿宋" w:hAnsi="仿宋" w:eastAsia="仿宋"/>
          <w:color w:val="000000"/>
          <w:sz w:val="24"/>
        </w:rPr>
        <w:sectPr>
          <w:headerReference r:id="rId4" w:type="first"/>
          <w:footerReference r:id="rId6" w:type="first"/>
          <w:headerReference r:id="rId3" w:type="default"/>
          <w:footerReference r:id="rId5" w:type="default"/>
          <w:type w:val="continuous"/>
          <w:pgSz w:w="11906" w:h="16838"/>
          <w:pgMar w:top="1440" w:right="1800" w:bottom="1440" w:left="1800" w:header="851" w:footer="992" w:gutter="0"/>
          <w:paperSrc/>
          <w:pgNumType w:fmt="decimal" w:start="1"/>
          <w:cols w:space="720" w:num="1"/>
          <w:titlePg/>
          <w:rtlGutter w:val="0"/>
          <w:docGrid w:type="lines" w:linePitch="312" w:charSpace="0"/>
        </w:sectPr>
      </w:pPr>
    </w:p>
    <w:p>
      <w:pPr>
        <w:widowControl/>
        <w:spacing w:line="440" w:lineRule="exact"/>
        <w:jc w:val="left"/>
        <w:rPr>
          <w:rFonts w:ascii="仿宋" w:hAnsi="仿宋" w:eastAsia="仿宋"/>
          <w:color w:val="000000"/>
          <w:sz w:val="24"/>
        </w:rPr>
      </w:pPr>
    </w:p>
    <w:p>
      <w:pPr>
        <w:pStyle w:val="2"/>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8"/>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pPr>
        <w:spacing w:line="600" w:lineRule="exact"/>
        <w:ind w:firstLine="640" w:firstLineChars="200"/>
        <w:rPr>
          <w:rFonts w:hint="eastAsia" w:ascii="仿宋" w:hAnsi="仿宋" w:eastAsia="仿宋"/>
          <w:color w:val="000000"/>
          <w:sz w:val="32"/>
          <w:szCs w:val="32"/>
          <w:lang w:val="en-US" w:eastAsia="zh-CN"/>
        </w:rPr>
      </w:pPr>
      <w:bookmarkStart w:id="16" w:name="_Toc15377198"/>
      <w:bookmarkStart w:id="17" w:name="_Toc15378445"/>
      <w:r>
        <w:rPr>
          <w:rFonts w:hint="eastAsia" w:ascii="仿宋" w:hAnsi="仿宋" w:eastAsia="仿宋"/>
          <w:color w:val="000000"/>
          <w:sz w:val="32"/>
          <w:szCs w:val="32"/>
          <w:lang w:val="en-US" w:eastAsia="zh-CN"/>
        </w:rPr>
        <w:t>（一）主要职能</w:t>
      </w:r>
      <w:bookmarkEnd w:id="16"/>
      <w:bookmarkEnd w:id="17"/>
      <w:bookmarkStart w:id="18" w:name="_Toc15378446"/>
      <w:bookmarkStart w:id="19" w:name="_Toc15377199"/>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贯彻执行国家有关城乡规划、城市可持续发展的法律、法规和方针、政策;负责全市城乡规划编制等工作;起草城乡规划的规范性文件并组织实施;依法公布、公示、公开城乡规划的有关事项。</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承办城市总体规划的编制、修改和报批的具体工作;组织制定、修改近期建设规划并报总体规划审批机关备案;组织编制城市控制性详细规划、重要地块的修建性详细规划;会同有关部门编制各类专项规划;负责城市雕塑和户外广告规划及技术标准的编制管理工作;负责市级以上开发区、自然保护区、风景名胜保护区和森林公园总体规划及控制性详细规划编制;会同文物主管部门编制、审核历史文化名城、名镇、名村保护规划。参与江河流域规划、区域规划、土地利用总体规划、社会经济发展规划、建设规划和用地规划的制定。负责城市规划区内建设项目的选址定点，依法核发《建设项目选址意见书》和《建设用地规划许可证》，负责提出出让地块的规划条件(含变更)和附图;负责城市规划区内建设工程的规划审批，核发《建设工程规划许可证》;负责城市规划区内建设工程的放线、验线和竣工规划核实工作。负责城市规划区内的乡镇和村庄规划管理工作，依法核发《乡村建设规划许可证》。负责城市规划区内临时建设、临时用地的规划管理工作。负责市城乡规划委员会的日常工作。承担市政府公布的有关行政审批事项。承担市政府交办的其他事项。</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（二）2019年重点工作完成情况</w:t>
      </w:r>
      <w:bookmarkEnd w:id="18"/>
      <w:bookmarkEnd w:id="19"/>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规划编制取得新成效。一是完成2010版城市总规局部调整工作，积极指导《剑门蜀道风景名胜区（广元段）详细规划》的编制报批，明月峡景区、昭化景区（接官亭至昭化古城段）详细规划已获国家批复。二是完成市中心城区治堵、绿色家居产业城、黑石坡百草园等专项规划编制及曾家山生态康养度假区、羊木现代农业园区等规划编制指导工作。三是指导完成曾家山片区一镇七乡的总体规划和控制性详细规划、曾家山区域统筹规划编制、龙潭乡总体规划及控制性详规划编制及大唐女儿村、红岩镇百花村等幸福美丽新村规划编制工作。</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规划管理迈上新台阶。一是加强制度建设。出台了《广元市历史乡土建筑和传统村落保护办法》，起草《广元市国土空间规划委员会工作规程》，修订完善《广元市规划管理技术规定》，起草了《广元市地下管线管理暂行办法》。二是认真执行“一书两证”为核心的规划管理制度。全年核发《建设项目选址意见书》18件、《建设用地规划许可证》16件、《建设工程规划许可证》37件，《临时建设工程规划许可证》50件、《建设工程竣工规划核实合格证》29件，办证率100%。三是全力服务重大项目建设。通过总规局部调整支撑康养产业园、高铁快运物流基地、三江新区项目、盘龙商贸等项目建设。指导三江新区宝轮南环线、白龙江大桥、滨江北路等20余个重点项目规划建设，完成Ｇ5扩容、环城南路改造、凤凰山隧道等市政重点项目规划技术论证。</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审批改革取得新突破。一是开展多验合一和网上并联审批，审批时限在法定时限基础上提速70%。二是进一步推行“容缺后补”制度，对部分项目在不具备出具正式规划红线图的前提下，先行出具规划工作用图30余份。三是实行快审快办机制。每周定时召开专委会，为重点项目开辟“绿色通道”加开专委会。全年召开专委会48次、规委会10次，报审项目296个。</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帮村扶贫取得新进展。一是彻底解决集体经济收入缺口的难题。倡议房地产开发企业分别为金谷村、星火村捐建32KW、15KW光伏发电项目，预计年增收3万元；帮助星火村发展黄金梨产业园15亩。二是助力庭院经济发展。给村民发放鸡苗2800只，猕猴桃苗架杆1500根，支助深度贫困户周丹开办面条加工厂。三是持续开展“三同三进”“送温暖”“助农双抢”“以购代扶”等活动，局领导督导扶贫工作8次，帮扶干部入户对接9次，及时解决困难，进一步密切干群关系。四是深入开展贫困户“两不愁、三保障”回头看再排查工作，募集资金3万元，解决了个别贫困户缺少电视机、环境卫生较差、入户路未硬化等问题。</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5）主题教育取得好实效。一是高度重视。第一时间成立了局主题教育工作领导小组，抽调4名同志负责主题教育日常工作。二是扎实开展学习调研。领导班子集中学习5天、夜学8次，开展研讨交流15次。各党支部累计集中学习6次、夜学24次，累计开展研讨交流30余次。领导班子围绕规划支撑项目建设、控规规范调整、乡镇行政区划调整和精准扶贫等课题进行深入调研，形成高质量调研报告4篇。三是认真开展检视整改。领导班子成员对照党章党规和中央提出的“18个是否”检视整治问题41个。深入开展“8+8+2”专项整治，并结合我局实际，聚焦“规划管理审批不规范问题”，全面清理项目规划审批情况，清理问题项目15个。四是高质量召开“不忘初心、牢记使命”专题民主生活会，深入开展了批评与自我批评。通过主题教育，全局党员干部在思想上、政治上再次经受了一次全身心洗礼，进一步树牢了“以人民为中心”的规划理念，把习近平生态文明思想和城市规划建设管理论述融入规划编制管理全过程。</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6）民生问题得到妥处理。一是主动化解“问题楼盘”涉及规划方面的难题。完成了凰城·西江月、皇冠利都、东滨安居房、工农棚户区1号安置点、青城苑等项目规划核实，推动购房群众多年来未办产权证问题解决。二是及时解决群众合理诉求。妥善处理了滨江一号、天立学府华庭等项目信访问题，群众信访满意率达99%。</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7）党建工作全面加强。一是严格落实“三会一课”、“固定党日活动”等制度，全年总支委员（扩大）会议9次、总支党员大会1次、总支书记讲专题党课2次，班子成员讲党课3次，主题党日活动6次。二是按照“清单制+责任制”工作要求，制定出台了2019年度《全面从严治党主体责任清单》《廉政风险防控责任清单》等清单，建立党风廉政各项制度，推动从严压实“两个责任”，推动“两个责任”落地见效。三是组织党员干部参加党纪党规及警示教育学习，进一步提升全体党员的政治意识、责任意识、法制意识和纪律意识。四是深入开展作风纪律深化年活动，集中对形式主义官僚主义、干部赌博敛财、“天价烟”等九大问题专项整治，党员干部理想信念、工作作风、组织纪律明显加强。五是组织党员干部“助农双抢”“结对共建”“送温暖”等活动10余次。</w:t>
      </w:r>
    </w:p>
    <w:p>
      <w:pPr>
        <w:pStyle w:val="3"/>
        <w:rPr>
          <w:rStyle w:val="28"/>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0"/>
      <w:bookmarkEnd w:id="21"/>
    </w:p>
    <w:p>
      <w:pPr>
        <w:spacing w:line="600" w:lineRule="exact"/>
        <w:ind w:firstLine="640" w:firstLineChars="200"/>
        <w:rPr>
          <w:rFonts w:hint="eastAsia" w:ascii="仿宋" w:hAnsi="仿宋" w:eastAsia="仿宋"/>
          <w:color w:val="000000"/>
          <w:sz w:val="32"/>
          <w:szCs w:val="32"/>
          <w:lang w:val="en-US" w:eastAsia="zh-CN"/>
        </w:rPr>
      </w:pPr>
      <w:bookmarkStart w:id="22" w:name="_Toc15396602"/>
      <w:bookmarkStart w:id="23" w:name="_Toc15377204"/>
      <w:r>
        <w:rPr>
          <w:rFonts w:hint="eastAsia" w:ascii="仿宋" w:hAnsi="仿宋" w:eastAsia="仿宋"/>
          <w:color w:val="000000"/>
          <w:sz w:val="32"/>
          <w:szCs w:val="32"/>
          <w:lang w:val="en-US" w:eastAsia="zh-CN"/>
        </w:rPr>
        <w:t>广元市城乡规划局下属二级单位1个，其中行政单位0个，参照公务员法管理的事业单位0个，其他事业单位1个。</w:t>
      </w:r>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纳入广元市城乡规划局2019年度部门决算编制范围的二级预算单位包括:广元市城乡规划局经开区分局。</w:t>
      </w:r>
    </w:p>
    <w:p>
      <w:pPr>
        <w:pStyle w:val="2"/>
        <w:ind w:right="440"/>
        <w:jc w:val="right"/>
        <w:rPr>
          <w:rStyle w:val="27"/>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2019</w:t>
      </w:r>
      <w:r>
        <w:rPr>
          <w:rStyle w:val="27"/>
          <w:rFonts w:hint="eastAsia" w:ascii="黑体" w:hAnsi="黑体" w:eastAsia="黑体"/>
          <w:b w:val="0"/>
          <w:bCs w:val="0"/>
          <w:lang w:val="en-US" w:eastAsia="zh-CN"/>
        </w:rPr>
        <w:t>年度</w:t>
      </w:r>
      <w:r>
        <w:rPr>
          <w:rStyle w:val="27"/>
          <w:rFonts w:hint="eastAsia" w:ascii="黑体" w:hAnsi="黑体" w:eastAsia="黑体"/>
          <w:b w:val="0"/>
          <w:bCs w:val="0"/>
        </w:rPr>
        <w:t>部门决算情况说明</w:t>
      </w:r>
      <w:bookmarkEnd w:id="22"/>
      <w:bookmarkEnd w:id="23"/>
    </w:p>
    <w:p/>
    <w:p>
      <w:pPr>
        <w:pStyle w:val="18"/>
        <w:numPr>
          <w:ilvl w:val="0"/>
          <w:numId w:val="1"/>
        </w:numPr>
        <w:spacing w:line="600" w:lineRule="exact"/>
        <w:ind w:firstLineChars="0"/>
        <w:outlineLvl w:val="1"/>
        <w:rPr>
          <w:rStyle w:val="28"/>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4"/>
      <w:bookmarkEnd w:id="25"/>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2274.36</w:t>
      </w:r>
      <w:r>
        <w:rPr>
          <w:rFonts w:hint="eastAsia" w:ascii="仿宋" w:hAnsi="仿宋" w:eastAsia="仿宋"/>
          <w:color w:val="000000"/>
          <w:sz w:val="32"/>
          <w:szCs w:val="32"/>
        </w:rPr>
        <w:t>万元。与2018年相比，收、支总计增加</w:t>
      </w:r>
      <w:r>
        <w:rPr>
          <w:rFonts w:hint="eastAsia" w:ascii="仿宋" w:hAnsi="仿宋" w:eastAsia="仿宋"/>
          <w:color w:val="000000"/>
          <w:sz w:val="32"/>
          <w:szCs w:val="32"/>
          <w:lang w:val="en-US" w:eastAsia="zh-CN"/>
        </w:rPr>
        <w:t>1154.23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103.04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部门决算公开新增规划局经开分局数据，其次</w:t>
      </w:r>
      <w:r>
        <w:rPr>
          <w:rFonts w:hint="eastAsia" w:ascii="仿宋" w:hAnsi="仿宋" w:eastAsia="仿宋"/>
          <w:color w:val="000000"/>
          <w:sz w:val="32"/>
          <w:szCs w:val="32"/>
          <w:lang w:val="en-US" w:eastAsia="zh-CN"/>
        </w:rPr>
        <w:t>2019 年新增规</w:t>
      </w:r>
      <w:r>
        <w:rPr>
          <w:rFonts w:hint="eastAsia" w:ascii="仿宋" w:hAnsi="仿宋" w:eastAsia="仿宋"/>
          <w:color w:val="000000"/>
          <w:sz w:val="32"/>
          <w:szCs w:val="32"/>
          <w:lang w:eastAsia="zh-CN"/>
        </w:rPr>
        <w:t>划设计费</w:t>
      </w:r>
      <w:bookmarkStart w:id="26" w:name="_Toc15396604"/>
      <w:bookmarkStart w:id="27" w:name="_Toc15377206"/>
      <w:r>
        <w:rPr>
          <w:rFonts w:hint="eastAsia" w:ascii="仿宋" w:hAnsi="仿宋" w:eastAsia="仿宋"/>
          <w:color w:val="000000"/>
          <w:sz w:val="32"/>
          <w:szCs w:val="32"/>
          <w:lang w:eastAsia="zh-CN"/>
        </w:rPr>
        <w:t>收入</w:t>
      </w:r>
      <w:r>
        <w:rPr>
          <w:rFonts w:hint="eastAsia" w:ascii="仿宋" w:hAnsi="仿宋" w:eastAsia="仿宋"/>
          <w:color w:val="000000"/>
          <w:sz w:val="32"/>
          <w:szCs w:val="32"/>
          <w:lang w:val="en-US" w:eastAsia="zh-CN"/>
        </w:rPr>
        <w:t>872万元</w:t>
      </w:r>
      <w:r>
        <w:rPr>
          <w:rFonts w:hint="eastAsia" w:ascii="仿宋" w:hAnsi="仿宋" w:eastAsia="仿宋"/>
          <w:color w:val="000000"/>
          <w:sz w:val="32"/>
          <w:szCs w:val="32"/>
          <w:lang w:eastAsia="zh-CN"/>
        </w:rPr>
        <w:t>。</w:t>
      </w:r>
    </w:p>
    <w:p>
      <w:pPr>
        <w:pStyle w:val="18"/>
        <w:numPr>
          <w:ilvl w:val="0"/>
          <w:numId w:val="1"/>
        </w:numPr>
        <w:spacing w:line="600" w:lineRule="exact"/>
        <w:ind w:firstLineChars="0"/>
        <w:outlineLvl w:val="1"/>
        <w:rPr>
          <w:rStyle w:val="28"/>
          <w:rFonts w:ascii="黑体" w:hAnsi="黑体" w:eastAsia="黑体"/>
          <w:b w:val="0"/>
        </w:rPr>
      </w:pPr>
      <w:r>
        <w:rPr>
          <w:rFonts w:hint="eastAsia" w:ascii="黑体" w:hAnsi="黑体" w:eastAsia="黑体"/>
          <w:color w:val="000000"/>
          <w:sz w:val="32"/>
          <w:szCs w:val="32"/>
        </w:rPr>
        <w:t>收</w:t>
      </w:r>
      <w:r>
        <w:rPr>
          <w:rStyle w:val="28"/>
          <w:rFonts w:hint="eastAsia" w:ascii="黑体" w:hAnsi="黑体" w:eastAsia="黑体"/>
          <w:b w:val="0"/>
        </w:rPr>
        <w:t>入决算情况说明</w:t>
      </w:r>
      <w:bookmarkEnd w:id="26"/>
      <w:bookmarkEnd w:id="27"/>
    </w:p>
    <w:p>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1639.49</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683.19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41.67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956.30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（其中规划设计费收入</w:t>
      </w:r>
      <w:r>
        <w:rPr>
          <w:rFonts w:hint="eastAsia" w:ascii="仿宋" w:hAnsi="仿宋" w:eastAsia="仿宋"/>
          <w:color w:val="000000"/>
          <w:sz w:val="32"/>
          <w:szCs w:val="32"/>
          <w:lang w:val="en-US" w:eastAsia="zh-CN"/>
        </w:rPr>
        <w:t>872万元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58.33</w:t>
      </w:r>
      <w:r>
        <w:rPr>
          <w:rFonts w:ascii="仿宋" w:hAnsi="仿宋" w:eastAsia="仿宋"/>
          <w:color w:val="000000"/>
          <w:sz w:val="32"/>
          <w:szCs w:val="32"/>
        </w:rPr>
        <w:t>%</w:t>
      </w:r>
      <w:r>
        <w:rPr>
          <w:rFonts w:hint="eastAsia" w:ascii="仿宋" w:hAnsi="仿宋" w:eastAsia="仿宋"/>
          <w:color w:val="000000"/>
          <w:sz w:val="32"/>
          <w:szCs w:val="32"/>
        </w:rPr>
        <w:t>。</w:t>
      </w:r>
    </w:p>
    <w:p>
      <w:pPr>
        <w:pStyle w:val="18"/>
        <w:numPr>
          <w:ilvl w:val="0"/>
          <w:numId w:val="1"/>
        </w:numPr>
        <w:spacing w:line="600" w:lineRule="exact"/>
        <w:ind w:firstLineChars="0"/>
        <w:outlineLvl w:val="1"/>
        <w:rPr>
          <w:rStyle w:val="28"/>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1139.62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696.11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61.08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443.51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38.92</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8"/>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b/>
          <w:color w:val="00B05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908.97</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197.25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27.71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w:t>
      </w:r>
      <w:r>
        <w:rPr>
          <w:rFonts w:hint="eastAsia" w:ascii="仿宋" w:hAnsi="仿宋" w:eastAsia="仿宋"/>
          <w:color w:val="000000"/>
          <w:sz w:val="32"/>
          <w:szCs w:val="32"/>
          <w:lang w:eastAsia="zh-CN"/>
        </w:rPr>
        <w:t>部门决算公开新增规划局经开分局数据</w:t>
      </w:r>
      <w:r>
        <w:rPr>
          <w:rFonts w:hint="eastAsia" w:ascii="仿宋" w:hAnsi="仿宋" w:eastAsia="仿宋"/>
          <w:color w:val="000000"/>
          <w:sz w:val="32"/>
          <w:szCs w:val="32"/>
          <w:lang w:val="en-US" w:eastAsia="zh-CN"/>
        </w:rPr>
        <w:t>。</w:t>
      </w:r>
    </w:p>
    <w:p>
      <w:pPr>
        <w:spacing w:line="600" w:lineRule="exact"/>
        <w:ind w:firstLine="640" w:firstLineChars="200"/>
        <w:outlineLvl w:val="1"/>
        <w:rPr>
          <w:rStyle w:val="28"/>
          <w:rFonts w:ascii="黑体" w:hAnsi="黑体" w:eastAsia="黑体"/>
          <w:b w:val="0"/>
          <w:color w:val="auto"/>
        </w:rPr>
      </w:pPr>
      <w:bookmarkStart w:id="32" w:name="_Toc15396607"/>
      <w:bookmarkStart w:id="33" w:name="_Toc15377209"/>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8"/>
          <w:rFonts w:hint="eastAsia" w:ascii="黑体" w:hAnsi="黑体" w:eastAsia="黑体"/>
          <w:b w:val="0"/>
          <w:color w:val="auto"/>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685.02</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60.11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w:t>
      </w:r>
      <w:r>
        <w:rPr>
          <w:rFonts w:hint="eastAsia" w:ascii="仿宋" w:hAnsi="仿宋" w:eastAsia="仿宋"/>
          <w:color w:val="000000"/>
          <w:sz w:val="32"/>
          <w:szCs w:val="32"/>
          <w:lang w:eastAsia="zh-CN"/>
        </w:rPr>
        <w:t>拨款增加</w:t>
      </w:r>
      <w:r>
        <w:rPr>
          <w:rFonts w:hint="eastAsia" w:ascii="仿宋" w:hAnsi="仿宋" w:eastAsia="仿宋"/>
          <w:color w:val="000000"/>
          <w:sz w:val="32"/>
          <w:szCs w:val="32"/>
          <w:lang w:val="en-US" w:eastAsia="zh-CN"/>
        </w:rPr>
        <w:t>151.49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28.39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部门决算公开新增规划局经开分局数据。</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firstLineChars="200"/>
        <w:outlineLvl w:val="2"/>
        <w:rPr>
          <w:rFonts w:hint="eastAsia" w:ascii="仿宋" w:hAnsi="仿宋" w:eastAsia="仿宋"/>
          <w:b w:val="0"/>
          <w:bCs w:val="0"/>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685.02</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53.36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7.79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24.31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住房保障支出</w:t>
      </w:r>
      <w:r>
        <w:rPr>
          <w:rFonts w:hint="eastAsia" w:ascii="仿宋" w:hAnsi="仿宋" w:eastAsia="仿宋"/>
          <w:b w:val="0"/>
          <w:bCs w:val="0"/>
          <w:color w:val="000000"/>
          <w:sz w:val="32"/>
          <w:szCs w:val="32"/>
          <w:lang w:val="en-US" w:eastAsia="zh-CN"/>
        </w:rPr>
        <w:t>44.04</w:t>
      </w:r>
      <w:r>
        <w:rPr>
          <w:rFonts w:hint="eastAsia" w:ascii="仿宋" w:hAnsi="仿宋" w:eastAsia="仿宋"/>
          <w:b w:val="0"/>
          <w:bCs w:val="0"/>
          <w:color w:val="000000"/>
          <w:sz w:val="32"/>
          <w:szCs w:val="32"/>
        </w:rPr>
        <w:t>万元，占</w:t>
      </w:r>
      <w:r>
        <w:rPr>
          <w:rFonts w:hint="eastAsia" w:ascii="仿宋" w:hAnsi="仿宋" w:eastAsia="仿宋"/>
          <w:b w:val="0"/>
          <w:bCs w:val="0"/>
          <w:color w:val="000000"/>
          <w:sz w:val="32"/>
          <w:szCs w:val="32"/>
          <w:lang w:val="en-US" w:eastAsia="zh-CN"/>
        </w:rPr>
        <w:t>6.43</w:t>
      </w:r>
      <w:r>
        <w:rPr>
          <w:rFonts w:hint="eastAsia" w:ascii="仿宋" w:hAnsi="仿宋" w:eastAsia="仿宋"/>
          <w:b w:val="0"/>
          <w:bCs w:val="0"/>
          <w:color w:val="000000"/>
          <w:sz w:val="32"/>
          <w:szCs w:val="32"/>
        </w:rPr>
        <w:t>%；</w:t>
      </w:r>
      <w:bookmarkStart w:id="36" w:name="_Toc15377212"/>
      <w:r>
        <w:rPr>
          <w:rFonts w:hint="eastAsia" w:ascii="仿宋" w:hAnsi="仿宋" w:eastAsia="仿宋"/>
          <w:b/>
          <w:bCs/>
          <w:color w:val="000000"/>
          <w:sz w:val="32"/>
          <w:szCs w:val="32"/>
          <w:lang w:eastAsia="zh-CN"/>
        </w:rPr>
        <w:t>城乡社区</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563.31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82.23</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auto"/>
          <w:sz w:val="32"/>
          <w:szCs w:val="32"/>
        </w:rPr>
      </w:pPr>
      <w:bookmarkStart w:id="37" w:name="_Toc15378460"/>
      <w:bookmarkStart w:id="38" w:name="_Toc15377444"/>
      <w:bookmarkStart w:id="39" w:name="_Toc15377213"/>
      <w:r>
        <w:rPr>
          <w:rFonts w:hint="eastAsia" w:ascii="仿宋" w:hAnsi="仿宋" w:eastAsia="仿宋"/>
          <w:b/>
          <w:color w:val="000000"/>
          <w:sz w:val="32"/>
          <w:szCs w:val="32"/>
        </w:rPr>
        <w:t>2019年</w:t>
      </w:r>
      <w:r>
        <w:rPr>
          <w:rFonts w:hint="eastAsia" w:ascii="仿宋" w:hAnsi="仿宋" w:eastAsia="仿宋"/>
          <w:b/>
          <w:color w:val="000000"/>
          <w:sz w:val="32"/>
          <w:szCs w:val="32"/>
          <w:lang w:eastAsia="zh-CN"/>
        </w:rPr>
        <w:t>一</w:t>
      </w:r>
      <w:r>
        <w:rPr>
          <w:rFonts w:hint="eastAsia" w:ascii="仿宋" w:hAnsi="仿宋" w:eastAsia="仿宋"/>
          <w:b/>
          <w:color w:val="000000"/>
          <w:sz w:val="32"/>
          <w:szCs w:val="32"/>
        </w:rPr>
        <w:t>般公共预算支出决算数</w:t>
      </w:r>
      <w:r>
        <w:rPr>
          <w:rFonts w:hint="eastAsia" w:ascii="仿宋" w:hAnsi="仿宋" w:eastAsia="仿宋"/>
          <w:b/>
          <w:color w:val="auto"/>
          <w:sz w:val="32"/>
          <w:szCs w:val="32"/>
        </w:rPr>
        <w:t>为</w:t>
      </w:r>
      <w:r>
        <w:rPr>
          <w:rFonts w:hint="eastAsia" w:ascii="仿宋" w:hAnsi="仿宋" w:eastAsia="仿宋"/>
          <w:b/>
          <w:color w:val="auto"/>
          <w:sz w:val="32"/>
          <w:szCs w:val="32"/>
          <w:lang w:val="en-US" w:eastAsia="zh-CN"/>
        </w:rPr>
        <w:t>685.02万元</w:t>
      </w:r>
      <w:r>
        <w:rPr>
          <w:rFonts w:hint="eastAsia" w:ascii="仿宋" w:hAnsi="仿宋" w:eastAsia="仿宋"/>
          <w:color w:val="auto"/>
          <w:sz w:val="32"/>
          <w:szCs w:val="32"/>
        </w:rPr>
        <w:t>，</w:t>
      </w:r>
      <w:r>
        <w:rPr>
          <w:rStyle w:val="15"/>
          <w:rFonts w:hint="eastAsia" w:ascii="仿宋" w:hAnsi="仿宋" w:eastAsia="仿宋"/>
          <w:bCs/>
          <w:color w:val="auto"/>
          <w:sz w:val="32"/>
          <w:szCs w:val="32"/>
        </w:rPr>
        <w:t>完成预算</w:t>
      </w:r>
      <w:r>
        <w:rPr>
          <w:rStyle w:val="15"/>
          <w:rFonts w:hint="eastAsia" w:ascii="仿宋" w:hAnsi="仿宋" w:eastAsia="仿宋"/>
          <w:bCs/>
          <w:color w:val="auto"/>
          <w:sz w:val="32"/>
          <w:szCs w:val="32"/>
          <w:lang w:val="en-US" w:eastAsia="zh-CN"/>
        </w:rPr>
        <w:t>75.36</w:t>
      </w:r>
      <w:r>
        <w:rPr>
          <w:rStyle w:val="15"/>
          <w:rFonts w:ascii="仿宋" w:hAnsi="仿宋" w:eastAsia="仿宋"/>
          <w:bCs/>
          <w:color w:val="auto"/>
          <w:sz w:val="32"/>
          <w:szCs w:val="32"/>
        </w:rPr>
        <w:t>%</w:t>
      </w:r>
      <w:r>
        <w:rPr>
          <w:rStyle w:val="15"/>
          <w:rFonts w:hint="eastAsia" w:ascii="仿宋" w:hAnsi="仿宋" w:eastAsia="仿宋"/>
          <w:bCs/>
          <w:color w:val="auto"/>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（类）行政事业单位离退休（款）机关事业单位基本养老保险缴费支出（项）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53.36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医疗卫生与计划生育（类）</w:t>
      </w:r>
      <w:r>
        <w:rPr>
          <w:rStyle w:val="15"/>
          <w:rFonts w:hint="eastAsia" w:ascii="仿宋" w:hAnsi="仿宋" w:eastAsia="仿宋"/>
          <w:bCs/>
          <w:color w:val="000000"/>
          <w:sz w:val="32"/>
          <w:szCs w:val="32"/>
          <w:lang w:val="en-US" w:eastAsia="zh-CN"/>
        </w:rPr>
        <w:t>行政事业单位医疗</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事业单位医疗</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24.31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w:t>
      </w:r>
      <w:r>
        <w:rPr>
          <w:rStyle w:val="15"/>
          <w:rFonts w:hint="eastAsia" w:ascii="仿宋" w:hAnsi="仿宋" w:eastAsia="仿宋"/>
          <w:b w:val="0"/>
          <w:bCs/>
          <w:color w:val="000000"/>
          <w:sz w:val="32"/>
          <w:szCs w:val="32"/>
          <w:lang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城乡社区（类）城乡社区规划与管理（款）</w:t>
      </w:r>
      <w:r>
        <w:rPr>
          <w:rStyle w:val="15"/>
          <w:rFonts w:hint="eastAsia" w:ascii="仿宋" w:hAnsi="仿宋" w:eastAsia="仿宋"/>
          <w:bCs/>
          <w:color w:val="000000"/>
          <w:sz w:val="32"/>
          <w:szCs w:val="32"/>
          <w:lang w:val="en-US" w:eastAsia="zh-CN"/>
        </w:rPr>
        <w:t>城乡社区规划与管理</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536.31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71.55</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_GB2312" w:eastAsia="仿宋_GB2312"/>
          <w:b w:val="0"/>
          <w:bCs/>
          <w:color w:val="000000"/>
          <w:sz w:val="32"/>
          <w:szCs w:val="32"/>
          <w:lang w:eastAsia="zh-CN"/>
        </w:rPr>
        <w:t>剩余项目资金</w:t>
      </w:r>
      <w:r>
        <w:rPr>
          <w:rStyle w:val="15"/>
          <w:rFonts w:hint="eastAsia" w:ascii="仿宋_GB2312" w:eastAsia="仿宋_GB2312"/>
          <w:b w:val="0"/>
          <w:bCs w:val="0"/>
          <w:color w:val="auto"/>
          <w:sz w:val="32"/>
          <w:szCs w:val="32"/>
          <w:lang w:eastAsia="zh-CN"/>
        </w:rPr>
        <w:t>结转下年继续支付</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住房保障（类）</w:t>
      </w:r>
      <w:r>
        <w:rPr>
          <w:rStyle w:val="15"/>
          <w:rFonts w:hint="eastAsia" w:ascii="仿宋" w:hAnsi="仿宋" w:eastAsia="仿宋"/>
          <w:bCs/>
          <w:color w:val="000000"/>
          <w:sz w:val="32"/>
          <w:szCs w:val="32"/>
          <w:lang w:val="en-US" w:eastAsia="zh-CN"/>
        </w:rPr>
        <w:t>住房改革支出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val="en-US" w:eastAsia="zh-CN"/>
        </w:rPr>
        <w:t>住房公积金</w:t>
      </w:r>
      <w:r>
        <w:rPr>
          <w:rStyle w:val="15"/>
          <w:rFonts w:hint="eastAsia" w:ascii="仿宋" w:hAnsi="仿宋" w:eastAsia="仿宋"/>
          <w:bCs/>
          <w:color w:val="000000"/>
          <w:sz w:val="32"/>
          <w:szCs w:val="32"/>
        </w:rPr>
        <w:t>（项）:</w:t>
      </w:r>
      <w:r>
        <w:rPr>
          <w:rStyle w:val="15"/>
          <w:rFonts w:hint="eastAsia" w:ascii="仿宋_GB2312" w:eastAsia="仿宋_GB2312"/>
          <w:b w:val="0"/>
          <w:bCs/>
          <w:color w:val="auto"/>
          <w:sz w:val="32"/>
          <w:szCs w:val="32"/>
        </w:rPr>
        <w:t>支出决算为</w:t>
      </w:r>
      <w:r>
        <w:rPr>
          <w:rStyle w:val="15"/>
          <w:rFonts w:hint="eastAsia" w:ascii="仿宋_GB2312" w:eastAsia="仿宋_GB2312"/>
          <w:b w:val="0"/>
          <w:bCs/>
          <w:color w:val="auto"/>
          <w:sz w:val="32"/>
          <w:szCs w:val="32"/>
          <w:lang w:val="en-US" w:eastAsia="zh-CN"/>
        </w:rPr>
        <w:t>44.04</w:t>
      </w:r>
      <w:r>
        <w:rPr>
          <w:rStyle w:val="15"/>
          <w:rFonts w:hint="eastAsia" w:ascii="仿宋_GB2312" w:eastAsia="仿宋_GB2312"/>
          <w:b w:val="0"/>
          <w:bCs/>
          <w:color w:val="auto"/>
          <w:sz w:val="32"/>
          <w:szCs w:val="32"/>
        </w:rPr>
        <w:t>万元，完成预算</w:t>
      </w:r>
      <w:r>
        <w:rPr>
          <w:rStyle w:val="15"/>
          <w:rFonts w:hint="eastAsia" w:ascii="仿宋_GB2312" w:eastAsia="仿宋_GB2312"/>
          <w:b w:val="0"/>
          <w:bCs/>
          <w:color w:val="auto"/>
          <w:sz w:val="32"/>
          <w:szCs w:val="32"/>
          <w:lang w:val="en-US" w:eastAsia="zh-CN"/>
        </w:rPr>
        <w:t>100</w:t>
      </w:r>
      <w:r>
        <w:rPr>
          <w:rStyle w:val="15"/>
          <w:rFonts w:hint="eastAsia" w:ascii="仿宋_GB2312" w:eastAsia="仿宋_GB2312"/>
          <w:b w:val="0"/>
          <w:bCs/>
          <w:color w:val="auto"/>
          <w:sz w:val="32"/>
          <w:szCs w:val="32"/>
        </w:rPr>
        <w:t>%</w:t>
      </w:r>
      <w:r>
        <w:rPr>
          <w:rStyle w:val="15"/>
          <w:rFonts w:hint="eastAsia" w:ascii="仿宋_GB2312" w:eastAsia="仿宋_GB2312"/>
          <w:b w:val="0"/>
          <w:bCs/>
          <w:color w:val="auto"/>
          <w:sz w:val="32"/>
          <w:szCs w:val="32"/>
          <w:lang w:eastAsia="zh-CN"/>
        </w:rPr>
        <w:t>。</w:t>
      </w:r>
    </w:p>
    <w:p>
      <w:pPr>
        <w:tabs>
          <w:tab w:val="right" w:pos="8306"/>
        </w:tabs>
        <w:spacing w:line="600" w:lineRule="exact"/>
        <w:ind w:firstLine="640"/>
        <w:outlineLvl w:val="1"/>
        <w:rPr>
          <w:rStyle w:val="28"/>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636.02</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526.18</w:t>
      </w:r>
      <w:r>
        <w:rPr>
          <w:rFonts w:hint="eastAsia" w:ascii="仿宋" w:hAnsi="仿宋" w:eastAsia="仿宋"/>
          <w:color w:val="000000"/>
          <w:sz w:val="32"/>
          <w:szCs w:val="32"/>
        </w:rPr>
        <w:t>万元，主要包括：基本工资、津贴补贴、绩效工资、机关事业单位基本养老保险缴费、其他社会保障缴费、职业年金缴费</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其他工资福利支出、住房公积金、其他对个人和家庭的补助支出等。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109.82</w:t>
      </w:r>
      <w:r>
        <w:rPr>
          <w:rFonts w:hint="eastAsia" w:ascii="仿宋" w:hAnsi="仿宋" w:eastAsia="仿宋"/>
          <w:color w:val="000000"/>
          <w:sz w:val="32"/>
          <w:szCs w:val="32"/>
        </w:rPr>
        <w:t>万元，主要包括：办公费、印刷费、手续费、水费、电费、邮电费、物业管理费、差旅费、维修（护）费、租赁费、会议费、培训费、劳务费、委托业务费、工会经费、福利费、其他交通费、其他商品和服务支出、信息网络及软件购置更新、基础设施建设</w:t>
      </w:r>
      <w:bookmarkStart w:id="73" w:name="_GoBack"/>
      <w:bookmarkEnd w:id="73"/>
      <w:r>
        <w:rPr>
          <w:rFonts w:hint="eastAsia" w:ascii="仿宋" w:hAnsi="仿宋" w:eastAsia="仿宋"/>
          <w:color w:val="000000"/>
          <w:sz w:val="32"/>
          <w:szCs w:val="32"/>
        </w:rPr>
        <w:t>等。</w:t>
      </w:r>
    </w:p>
    <w:p>
      <w:pPr>
        <w:spacing w:line="600" w:lineRule="exact"/>
        <w:ind w:firstLine="640"/>
        <w:outlineLvl w:val="1"/>
        <w:rPr>
          <w:rStyle w:val="28"/>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0.28万。下降100%。</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ascii="仿宋_GB2312" w:eastAsia="仿宋_GB2312"/>
          <w:b/>
          <w:color w:val="000000"/>
          <w:sz w:val="32"/>
          <w:szCs w:val="32"/>
          <w:lang w:val="en-US"/>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2019年无该项支出。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单位无公务车辆，无该项支出。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eastAsia="zh-CN"/>
        </w:rPr>
        <w:t>0</w:t>
      </w:r>
      <w:r>
        <w:rPr>
          <w:rFonts w:ascii="仿宋_GB2312" w:eastAsia="仿宋_GB2312"/>
          <w:color w:val="000000"/>
          <w:sz w:val="32"/>
          <w:szCs w:val="32"/>
        </w:rPr>
        <w:t>元。</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0.28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2019年无公务接待发生。</w:t>
      </w:r>
    </w:p>
    <w:p>
      <w:pPr>
        <w:widowControl w:val="0"/>
        <w:numPr>
          <w:ilvl w:val="0"/>
          <w:numId w:val="0"/>
        </w:numPr>
        <w:wordWrap/>
        <w:adjustRightInd/>
        <w:snapToGrid/>
        <w:spacing w:line="600" w:lineRule="exact"/>
        <w:ind w:left="0" w:leftChars="0" w:right="0" w:firstLine="643" w:firstLineChars="200"/>
        <w:jc w:val="both"/>
        <w:textAlignment w:val="auto"/>
        <w:outlineLvl w:val="9"/>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eastAsia="zh-CN"/>
        </w:rPr>
        <w:t>0</w:t>
      </w:r>
      <w:r>
        <w:rPr>
          <w:rFonts w:hint="eastAsia" w:ascii="仿宋_GB2312" w:eastAsia="仿宋_GB2312"/>
          <w:color w:val="000000"/>
          <w:sz w:val="32"/>
          <w:szCs w:val="32"/>
        </w:rPr>
        <w:t>万元。</w:t>
      </w:r>
    </w:p>
    <w:p>
      <w:pPr>
        <w:spacing w:line="600" w:lineRule="exact"/>
        <w:ind w:firstLine="640"/>
        <w:outlineLvl w:val="1"/>
        <w:rPr>
          <w:rFonts w:hint="eastAsia"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eastAsia="zh-CN"/>
        </w:rPr>
        <w:t>0</w:t>
      </w:r>
      <w:r>
        <w:rPr>
          <w:rFonts w:hint="eastAsia" w:ascii="仿宋_GB2312" w:eastAsia="仿宋_GB2312"/>
          <w:color w:val="000000"/>
          <w:sz w:val="32"/>
          <w:szCs w:val="32"/>
        </w:rPr>
        <w:t>万元</w:t>
      </w:r>
      <w:bookmarkStart w:id="46" w:name="_Toc15396610"/>
      <w:bookmarkStart w:id="47" w:name="_Toc15377218"/>
      <w:r>
        <w:rPr>
          <w:rFonts w:hint="eastAsia" w:ascii="仿宋_GB2312" w:eastAsia="仿宋_GB2312"/>
          <w:color w:val="000000"/>
          <w:sz w:val="32"/>
          <w:szCs w:val="32"/>
        </w:rPr>
        <w:t>。</w:t>
      </w:r>
    </w:p>
    <w:p>
      <w:pPr>
        <w:spacing w:line="600" w:lineRule="exact"/>
        <w:ind w:firstLine="64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Style w:val="15"/>
          <w:rFonts w:hint="eastAsia" w:ascii="仿宋" w:hAnsi="仿宋" w:eastAsia="仿宋"/>
          <w:b w:val="0"/>
          <w:bCs/>
          <w:color w:val="000000"/>
          <w:sz w:val="32"/>
          <w:szCs w:val="32"/>
        </w:rPr>
        <w:t>2019年政府性基金预算拨款支出</w:t>
      </w:r>
      <w:r>
        <w:rPr>
          <w:rStyle w:val="15"/>
          <w:rFonts w:hint="eastAsia" w:ascii="仿宋" w:hAnsi="仿宋" w:eastAsia="仿宋"/>
          <w:b w:val="0"/>
          <w:bCs/>
          <w:color w:val="000000"/>
          <w:sz w:val="32"/>
          <w:szCs w:val="32"/>
          <w:lang w:eastAsia="zh-CN"/>
        </w:rPr>
        <w:t>0</w:t>
      </w:r>
      <w:r>
        <w:rPr>
          <w:rStyle w:val="15"/>
          <w:rFonts w:hint="eastAsia" w:ascii="仿宋" w:hAnsi="仿宋" w:eastAsia="仿宋"/>
          <w:b w:val="0"/>
          <w:bCs/>
          <w:color w:val="000000"/>
          <w:sz w:val="32"/>
          <w:szCs w:val="32"/>
        </w:rPr>
        <w:t>万元</w:t>
      </w:r>
      <w:r>
        <w:rPr>
          <w:rFonts w:hint="eastAsia" w:ascii="仿宋_GB2312" w:eastAsia="仿宋_GB2312"/>
          <w:color w:val="000000"/>
          <w:sz w:val="32"/>
          <w:szCs w:val="32"/>
        </w:rPr>
        <w:t>。</w:t>
      </w:r>
    </w:p>
    <w:p>
      <w:pPr>
        <w:numPr>
          <w:ilvl w:val="0"/>
          <w:numId w:val="2"/>
        </w:numPr>
        <w:spacing w:line="600" w:lineRule="exact"/>
        <w:ind w:firstLine="640"/>
        <w:outlineLvl w:val="1"/>
        <w:rPr>
          <w:rStyle w:val="28"/>
          <w:rFonts w:ascii="黑体" w:hAnsi="黑体" w:eastAsia="黑体"/>
          <w:b w:val="0"/>
        </w:rPr>
      </w:pPr>
      <w:bookmarkStart w:id="48" w:name="_Toc15396611"/>
      <w:bookmarkStart w:id="49" w:name="_Toc15377219"/>
      <w:r>
        <w:rPr>
          <w:rStyle w:val="28"/>
          <w:rFonts w:hint="eastAsia" w:ascii="黑体" w:hAnsi="黑体" w:eastAsia="黑体"/>
          <w:b w:val="0"/>
        </w:rPr>
        <w:t>国有资本经营预算支出决算情况说明</w:t>
      </w:r>
      <w:bookmarkEnd w:id="48"/>
      <w:bookmarkEnd w:id="49"/>
    </w:p>
    <w:p>
      <w:pPr>
        <w:spacing w:line="600" w:lineRule="exact"/>
        <w:ind w:firstLine="640"/>
        <w:rPr>
          <w:rStyle w:val="15"/>
          <w:rFonts w:hint="eastAsia" w:ascii="仿宋" w:hAnsi="仿宋" w:eastAsia="仿宋"/>
          <w:b w:val="0"/>
          <w:bCs/>
          <w:color w:val="000000"/>
          <w:sz w:val="32"/>
          <w:szCs w:val="32"/>
        </w:rPr>
      </w:pPr>
      <w:r>
        <w:rPr>
          <w:rStyle w:val="15"/>
          <w:rFonts w:hint="eastAsia" w:ascii="仿宋" w:hAnsi="仿宋" w:eastAsia="仿宋"/>
          <w:b w:val="0"/>
          <w:bCs/>
          <w:color w:val="000000"/>
          <w:sz w:val="32"/>
          <w:szCs w:val="32"/>
        </w:rPr>
        <w:t>2019年国有资本经营预算拨款支出</w:t>
      </w:r>
      <w:r>
        <w:rPr>
          <w:rStyle w:val="15"/>
          <w:rFonts w:hint="eastAsia" w:ascii="仿宋" w:hAnsi="仿宋" w:eastAsia="仿宋"/>
          <w:b w:val="0"/>
          <w:bCs/>
          <w:color w:val="000000"/>
          <w:sz w:val="32"/>
          <w:szCs w:val="32"/>
          <w:lang w:eastAsia="zh-CN"/>
        </w:rPr>
        <w:t>0</w:t>
      </w:r>
      <w:r>
        <w:rPr>
          <w:rStyle w:val="15"/>
          <w:rFonts w:hint="eastAsia" w:ascii="仿宋" w:hAnsi="仿宋" w:eastAsia="仿宋"/>
          <w:b w:val="0"/>
          <w:bCs/>
          <w:color w:val="000000"/>
          <w:sz w:val="32"/>
          <w:szCs w:val="32"/>
        </w:rPr>
        <w:t>万元。</w:t>
      </w:r>
    </w:p>
    <w:p>
      <w:pPr>
        <w:widowControl w:val="0"/>
        <w:wordWrap/>
        <w:adjustRightInd/>
        <w:snapToGrid/>
        <w:spacing w:line="600" w:lineRule="exact"/>
        <w:ind w:left="0" w:leftChars="0" w:right="0" w:firstLine="640" w:firstLineChars="200"/>
        <w:jc w:val="both"/>
        <w:textAlignment w:val="auto"/>
        <w:outlineLvl w:val="1"/>
        <w:rPr>
          <w:rStyle w:val="28"/>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sz w:val="32"/>
          <w:szCs w:val="32"/>
          <w:lang w:val="en-US"/>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 w:hAnsi="仿宋" w:eastAsia="仿宋"/>
          <w:sz w:val="32"/>
          <w:szCs w:val="32"/>
        </w:rPr>
        <w:t>广元市城乡规划局</w:t>
      </w:r>
      <w:r>
        <w:rPr>
          <w:rFonts w:hint="eastAsia" w:ascii="仿宋" w:hAnsi="仿宋" w:eastAsia="仿宋"/>
          <w:sz w:val="32"/>
          <w:szCs w:val="32"/>
          <w:lang w:eastAsia="zh-CN"/>
        </w:rPr>
        <w:t>为行政事业单位，</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9年，政府采购支出总额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在年初预算编制阶段，组织对</w:t>
      </w:r>
      <w:r>
        <w:rPr>
          <w:rFonts w:hint="eastAsia" w:ascii="仿宋_GB2312" w:hAnsi="仿宋_GB2312" w:eastAsia="仿宋_GB2312" w:cs="仿宋_GB2312"/>
          <w:color w:val="auto"/>
          <w:sz w:val="32"/>
          <w:szCs w:val="32"/>
          <w:lang w:eastAsia="zh-CN"/>
        </w:rPr>
        <w:t>“规划督察专项经费”</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及“规委会工作经费”项目</w:t>
      </w:r>
      <w:r>
        <w:rPr>
          <w:rFonts w:hint="eastAsia" w:ascii="仿宋_GB2312" w:hAnsi="仿宋_GB2312" w:eastAsia="仿宋_GB2312" w:cs="仿宋_GB2312"/>
          <w:color w:val="auto"/>
          <w:sz w:val="32"/>
          <w:szCs w:val="32"/>
        </w:rPr>
        <w:t>开展了预算事前绩效评估，对</w:t>
      </w:r>
      <w:r>
        <w:rPr>
          <w:rFonts w:hint="eastAsia" w:ascii="仿宋_GB2312" w:hAnsi="仿宋_GB2312" w:eastAsia="仿宋_GB2312" w:cs="仿宋_GB2312"/>
          <w:color w:val="auto"/>
          <w:sz w:val="32"/>
          <w:szCs w:val="32"/>
          <w:lang w:eastAsia="zh-CN"/>
        </w:rPr>
        <w:t>“规划督察专项经费”</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及“规委会工作经费”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个项目开展绩效监控，年终执行完毕后，对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个项目开展了绩效目标完成情况梳理填报。本部门</w:t>
      </w:r>
      <w:r>
        <w:rPr>
          <w:rFonts w:hint="eastAsia" w:ascii="仿宋_GB2312" w:hAnsi="仿宋_GB2312" w:eastAsia="仿宋_GB2312" w:cs="仿宋_GB2312"/>
          <w:color w:val="auto"/>
          <w:sz w:val="32"/>
          <w:szCs w:val="32"/>
          <w:lang w:eastAsia="zh-CN"/>
        </w:rPr>
        <w:t>未</w:t>
      </w:r>
      <w:r>
        <w:rPr>
          <w:rFonts w:hint="eastAsia" w:ascii="仿宋_GB2312" w:hAnsi="仿宋_GB2312" w:eastAsia="仿宋_GB2312" w:cs="仿宋_GB2312"/>
          <w:color w:val="auto"/>
          <w:sz w:val="32"/>
          <w:szCs w:val="32"/>
        </w:rPr>
        <w:t>自行组织项目绩效评价</w:t>
      </w:r>
      <w:r>
        <w:rPr>
          <w:rFonts w:hint="eastAsia" w:ascii="仿宋_GB2312" w:hAnsi="Calibri" w:eastAsia="仿宋_GB2312" w:cs="黑体"/>
          <w:color w:val="auto"/>
          <w:kern w:val="2"/>
          <w:sz w:val="32"/>
          <w:szCs w:val="32"/>
          <w:lang w:val="en-US" w:eastAsia="zh-CN" w:bidi="ar-SA"/>
        </w:rPr>
        <w:t>。</w:t>
      </w:r>
    </w:p>
    <w:p>
      <w:pPr>
        <w:widowControl w:val="0"/>
        <w:numPr>
          <w:ilvl w:val="0"/>
          <w:numId w:val="0"/>
        </w:numPr>
        <w:wordWrap/>
        <w:adjustRightInd/>
        <w:snapToGrid/>
        <w:spacing w:line="580" w:lineRule="exact"/>
        <w:ind w:left="0" w:leftChars="0" w:right="0" w:firstLine="640" w:firstLineChars="200"/>
        <w:jc w:val="left"/>
        <w:textAlignment w:val="auto"/>
        <w:outlineLvl w:val="9"/>
        <w:rPr>
          <w:rFonts w:ascii="仿宋_GB2312" w:hAnsi="仿宋_GB2312" w:eastAsia="仿宋_GB2312" w:cs="仿宋_GB2312"/>
          <w:color w:val="auto"/>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b/>
          <w:bCs/>
          <w:color w:val="auto"/>
          <w:sz w:val="32"/>
          <w:szCs w:val="32"/>
        </w:rPr>
        <w:br w:type="textWrapping"/>
      </w:r>
      <w:r>
        <w:rPr>
          <w:rFonts w:hint="eastAsia" w:ascii="仿宋_GB2312" w:hAnsi="仿宋_GB2312" w:eastAsia="仿宋_GB2312" w:cs="仿宋_GB2312"/>
          <w:color w:val="auto"/>
          <w:sz w:val="32"/>
          <w:szCs w:val="32"/>
        </w:rPr>
        <w:t xml:space="preserve">    本部门在201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年度部门决算中反映</w:t>
      </w:r>
      <w:r>
        <w:rPr>
          <w:rFonts w:hint="eastAsia" w:ascii="仿宋_GB2312" w:hAnsi="仿宋_GB2312" w:eastAsia="仿宋_GB2312" w:cs="仿宋_GB2312"/>
          <w:color w:val="auto"/>
          <w:sz w:val="32"/>
          <w:szCs w:val="32"/>
          <w:lang w:eastAsia="zh-CN"/>
        </w:rPr>
        <w:t>“规划督察专项经费”“规委会工作经费”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个项目绩效目标实际完成情况。</w:t>
      </w:r>
    </w:p>
    <w:p>
      <w:pPr>
        <w:widowControl w:val="0"/>
        <w:numPr>
          <w:ilvl w:val="0"/>
          <w:numId w:val="0"/>
        </w:numPr>
        <w:wordWrap/>
        <w:adjustRightInd/>
        <w:snapToGrid/>
        <w:spacing w:line="580" w:lineRule="exact"/>
        <w:ind w:left="0" w:leftChars="0" w:right="0" w:firstLine="640" w:firstLineChars="200"/>
        <w:jc w:val="left"/>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）规划督察专项经费</w:t>
      </w:r>
      <w:r>
        <w:rPr>
          <w:rFonts w:hint="eastAsia" w:ascii="仿宋_GB2312" w:hAnsi="仿宋_GB2312" w:eastAsia="仿宋_GB2312" w:cs="仿宋_GB2312"/>
          <w:color w:val="auto"/>
          <w:sz w:val="32"/>
          <w:szCs w:val="32"/>
        </w:rPr>
        <w:t>项目绩效目标完成情况综述。项目全年预算数</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万元，执行数为</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万元，完成预算的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%。通过项目实施，</w:t>
      </w:r>
      <w:r>
        <w:rPr>
          <w:rFonts w:hint="eastAsia" w:ascii="仿宋_GB2312" w:hAnsi="仿宋_GB2312" w:eastAsia="仿宋_GB2312" w:cs="仿宋_GB2312"/>
          <w:color w:val="auto"/>
          <w:sz w:val="32"/>
          <w:szCs w:val="32"/>
          <w:lang w:eastAsia="zh-CN"/>
        </w:rPr>
        <w:t>维护了规划权威和严肃性，全年未发生违反规划进行建设情况。有效及时制止一些违规行为，保护历史古迹和风景资源。</w:t>
      </w:r>
    </w:p>
    <w:p>
      <w:pPr>
        <w:widowControl w:val="0"/>
        <w:tabs>
          <w:tab w:val="left" w:pos="312"/>
        </w:tabs>
        <w:wordWrap/>
        <w:adjustRightInd/>
        <w:snapToGrid/>
        <w:spacing w:line="580" w:lineRule="exact"/>
        <w:ind w:left="0" w:leftChars="0" w:right="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）规委会工作经费项目绩效目标完成情况综述。项目全年预算数</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eastAsia="zh-CN"/>
        </w:rPr>
        <w:t>万元，执行数为</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eastAsia="zh-CN"/>
        </w:rPr>
        <w:t>万元，完成预算的100%。通过项目实施，保障了每一次市规委会办公室职责履行，确保每次会议完满完成，确保及时对规委会成员进行调整、充实，在全国范围内聘请10余名国内知名专家为市规委会顾问，并根据专业性质不同增加了相关行业的专家委员。进一步延伸专委会审查深度，建立“容缺后补”和建设项目快审机制，根据项目建设需要适时筹备专委会和规委会，服务广元规划建设，做好项目要素保障。</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118"/>
        <w:gridCol w:w="2200"/>
        <w:gridCol w:w="2468"/>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18"/>
              <w:widowControl/>
              <w:jc w:val="center"/>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lang w:val="en-US" w:eastAsia="zh-CN"/>
              </w:rPr>
              <w:t xml:space="preserve">  </w:t>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规划督察专项经费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广元市规划局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10万元</w:t>
            </w:r>
          </w:p>
        </w:tc>
        <w:tc>
          <w:tcPr>
            <w:tcW w:w="2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10万元</w:t>
            </w:r>
          </w:p>
        </w:tc>
        <w:tc>
          <w:tcPr>
            <w:tcW w:w="2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1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39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1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5" w:hRule="atLeast"/>
        </w:trPr>
        <w:tc>
          <w:tcPr>
            <w:tcW w:w="390"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10"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建立市、县、镇、乡联动的城乡规划督察机制，城乡规划督察从市延展到村。</w:t>
            </w:r>
          </w:p>
        </w:tc>
        <w:tc>
          <w:tcPr>
            <w:tcW w:w="48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建立市、县、镇、乡联动的城乡规划督察机制，城乡规划督察从市延展到村。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1" w:hRule="atLeast"/>
        </w:trPr>
        <w:tc>
          <w:tcPr>
            <w:tcW w:w="39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3"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派驻个县区规划督察员</w:t>
            </w:r>
          </w:p>
        </w:tc>
        <w:tc>
          <w:tcPr>
            <w:tcW w:w="2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7"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开展规划督察工作</w:t>
            </w:r>
          </w:p>
        </w:tc>
        <w:tc>
          <w:tcPr>
            <w:tcW w:w="2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维护规划权威和严肃，不发生违反规划进行建设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无违反规划进行建设行为发生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完成时间</w:t>
            </w:r>
          </w:p>
        </w:tc>
        <w:tc>
          <w:tcPr>
            <w:tcW w:w="2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2019年12月31日前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2019年12月31日前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成本指标</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规划督察员工资</w:t>
            </w:r>
          </w:p>
        </w:tc>
        <w:tc>
          <w:tcPr>
            <w:tcW w:w="2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对工作是促进作用</w:t>
            </w:r>
          </w:p>
        </w:tc>
        <w:tc>
          <w:tcPr>
            <w:tcW w:w="246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有效及时制止一些违规行为，保护历史古迹和风景资源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有效及时制止一些违规行为，保护历史古迹和风景资源</w:t>
            </w:r>
          </w:p>
        </w:tc>
      </w:tr>
    </w:tbl>
    <w:tbl>
      <w:tblPr>
        <w:tblStyle w:val="13"/>
        <w:tblpPr w:leftFromText="180" w:rightFromText="180" w:vertAnchor="text" w:horzAnchor="page" w:tblpX="1361" w:tblpY="-1238"/>
        <w:tblOverlap w:val="never"/>
        <w:tblW w:w="996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118"/>
        <w:gridCol w:w="2274"/>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18"/>
              <w:widowControl/>
              <w:ind w:left="0" w:leftChars="0" w:firstLine="0" w:firstLineChars="0"/>
              <w:jc w:val="center"/>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lang w:val="en-US" w:eastAsia="zh-CN"/>
              </w:rPr>
              <w:t xml:space="preserve">  </w:t>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规委会工作经费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广元市规划局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30万元</w:t>
            </w:r>
            <w:r>
              <w:rPr>
                <w:rFonts w:hint="eastAsia" w:ascii="宋体" w:hAnsi="宋体" w:cs="宋体"/>
                <w:color w:val="000000"/>
                <w:sz w:val="24"/>
                <w:lang w:val="en-US" w:eastAsia="zh-CN"/>
              </w:rPr>
              <w:t xml:space="preserve">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left w:val="single" w:color="000000" w:sz="4" w:space="0"/>
              <w:right w:val="single" w:color="000000" w:sz="4" w:space="0"/>
            </w:tcBorders>
            <w:vAlign w:val="center"/>
          </w:tcPr>
          <w:p>
            <w:pPr>
              <w:widowControl/>
              <w:jc w:val="left"/>
              <w:rPr>
                <w:rFonts w:hint="eastAsia" w:ascii="宋体" w:hAnsi="宋体" w:eastAsia="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30万元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2" w:hRule="atLeast"/>
        </w:trPr>
        <w:tc>
          <w:tcPr>
            <w:tcW w:w="390" w:type="dxa"/>
            <w:vMerge w:val="continue"/>
            <w:tcBorders>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sz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组织、筹备和服务于每次规委会议，及时对规委会成员进行了调整、充实，在全国范围内聘请10余名国内知名专家为市规委会顾问，并根据专业性质不同增加了相关行业的专家委员。进一步延伸专委会审查深度，建立“容缺后补”和建设项目快审机制，根据项目建设需要适时筹备专委会和规委会，服务广元城乡规划建设，做好项目要素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eastAsia="zh-CN"/>
              </w:rPr>
              <w:t>组织、筹备和服务于每次规委会议，及时对规委会成员进行了调整、充实，在全国范围内聘请10余名国内知名专家为市规委会顾问，并根据专业性质不同增加了相关行业的专家委员。进一步延伸专委会审查深度，建立“容缺后补”和建设项目快审机制，根据项目建设需要适时筹备专委会和规委会，服务广元城乡规划建设，做好项目要素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一级指标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二级指标</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vAlign w:val="center"/>
          </w:tcPr>
          <w:p>
            <w:pPr>
              <w:widowControl/>
              <w:jc w:val="left"/>
              <w:rPr>
                <w:rFonts w:hint="eastAsia" w:ascii="宋体" w:hAnsi="宋体" w:eastAsia="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数量指标</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abs>
                <w:tab w:val="center" w:pos="1122"/>
              </w:tabs>
              <w:jc w:val="left"/>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24"/>
                <w:szCs w:val="24"/>
                <w:u w:val="none"/>
                <w:lang w:val="en-US" w:eastAsia="zh-CN" w:bidi="ar-SA"/>
              </w:rPr>
              <w:t>召开专委会</w:t>
            </w:r>
            <w:r>
              <w:rPr>
                <w:rFonts w:hint="eastAsia" w:ascii="宋体" w:hAnsi="宋体" w:eastAsia="宋体" w:cs="宋体"/>
                <w:i w:val="0"/>
                <w:color w:val="000000"/>
                <w:kern w:val="0"/>
                <w:sz w:val="24"/>
                <w:szCs w:val="24"/>
                <w:u w:val="none"/>
                <w:lang w:val="en-US" w:eastAsia="zh-CN" w:bidi="ar-SA"/>
              </w:rPr>
              <w:tab/>
            </w:r>
            <w:r>
              <w:rPr>
                <w:rFonts w:hint="eastAsia" w:ascii="宋体" w:hAnsi="宋体" w:eastAsia="宋体" w:cs="宋体"/>
                <w:i w:val="0"/>
                <w:color w:val="000000"/>
                <w:kern w:val="0"/>
                <w:sz w:val="24"/>
                <w:szCs w:val="24"/>
                <w:u w:val="none"/>
                <w:lang w:val="en-US" w:eastAsia="zh-CN" w:bidi="ar-SA"/>
              </w:rPr>
              <w:t>、专委会技术审查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全年12期、80期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kern w:val="0"/>
                <w:sz w:val="24"/>
                <w:lang w:val="en-US" w:eastAsia="zh-CN"/>
              </w:rPr>
              <w:t>全年共组织</w:t>
            </w:r>
            <w:r>
              <w:rPr>
                <w:rFonts w:hint="eastAsia" w:ascii="宋体" w:hAnsi="宋体" w:eastAsia="宋体" w:cs="宋体"/>
                <w:color w:val="000000"/>
                <w:kern w:val="0"/>
                <w:sz w:val="24"/>
              </w:rPr>
              <w:t>召开专委会48次、规委会10次，报审项目296个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vAlign w:val="center"/>
          </w:tcPr>
          <w:p>
            <w:pPr>
              <w:widowControl/>
              <w:jc w:val="left"/>
              <w:rPr>
                <w:rFonts w:hint="eastAsia" w:ascii="宋体" w:hAnsi="宋体" w:eastAsia="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质量指标</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i w:val="0"/>
                <w:color w:val="000000"/>
                <w:kern w:val="0"/>
                <w:sz w:val="24"/>
                <w:szCs w:val="24"/>
                <w:u w:val="none"/>
                <w:lang w:val="en-US" w:eastAsia="zh-CN" w:bidi="ar-SA"/>
              </w:rPr>
              <w:t>召开专委会</w:t>
            </w:r>
            <w:r>
              <w:rPr>
                <w:rFonts w:hint="eastAsia" w:ascii="宋体" w:hAnsi="宋体" w:eastAsia="宋体" w:cs="宋体"/>
                <w:i w:val="0"/>
                <w:color w:val="000000"/>
                <w:kern w:val="0"/>
                <w:sz w:val="24"/>
                <w:szCs w:val="24"/>
                <w:u w:val="none"/>
                <w:lang w:val="en-US" w:eastAsia="zh-CN" w:bidi="ar-SA"/>
              </w:rPr>
              <w:tab/>
            </w:r>
            <w:r>
              <w:rPr>
                <w:rFonts w:hint="eastAsia" w:ascii="宋体" w:hAnsi="宋体" w:eastAsia="宋体" w:cs="宋体"/>
                <w:i w:val="0"/>
                <w:color w:val="000000"/>
                <w:kern w:val="0"/>
                <w:sz w:val="24"/>
                <w:szCs w:val="24"/>
                <w:u w:val="none"/>
                <w:lang w:val="en-US" w:eastAsia="zh-CN" w:bidi="ar-SA"/>
              </w:rPr>
              <w:t>、专委会技术审查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对400余个项目规划设计方案进行审查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审查、审核450余个选址、规划、建筑、市政及景观方案，同比增长近30%。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jc w:val="left"/>
              <w:rPr>
                <w:rFonts w:hint="eastAsia" w:ascii="宋体" w:hAnsi="宋体" w:eastAsia="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时效指标</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2019年12月31日前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val="en-US" w:eastAsia="zh-CN"/>
              </w:rPr>
              <w:t>2019年12月31日前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vAlign w:val="center"/>
          </w:tcPr>
          <w:p>
            <w:pPr>
              <w:widowControl/>
              <w:jc w:val="left"/>
              <w:rPr>
                <w:rFonts w:hint="eastAsia" w:ascii="宋体" w:hAnsi="宋体" w:eastAsia="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项目完成指标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成本指标</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规委会专家咨询费、专家技术论证会、图纸资料制作、规委会会议室专用设备维护费用、专业档案整理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2" w:hRule="atLeast"/>
        </w:trPr>
        <w:tc>
          <w:tcPr>
            <w:tcW w:w="390" w:type="dxa"/>
            <w:vMerge w:val="continue"/>
            <w:tcBorders>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效益指标</w:t>
            </w:r>
          </w:p>
        </w:tc>
        <w:tc>
          <w:tcPr>
            <w:tcW w:w="11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社会效益</w:t>
            </w:r>
          </w:p>
        </w:tc>
        <w:tc>
          <w:tcPr>
            <w:tcW w:w="227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对城市规划影响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对广元市规划建设提出专家意见，审评规划设计机构的设计方案。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sz w:val="24"/>
                <w:lang w:eastAsia="zh-CN"/>
              </w:rPr>
              <w:t>对广元市规划建设提出专家意见，审评规划设计机构的设计方案。</w:t>
            </w:r>
          </w:p>
        </w:tc>
      </w:tr>
    </w:tbl>
    <w:p>
      <w:pPr>
        <w:spacing w:line="580" w:lineRule="exact"/>
        <w:rPr>
          <w:rFonts w:hint="eastAsia"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仿宋_GB2312" w:hAnsi="仿宋_GB2312" w:eastAsia="仿宋_GB2312" w:cs="仿宋_GB2312"/>
          <w:sz w:val="32"/>
          <w:szCs w:val="32"/>
        </w:rPr>
        <w:t>2.部门绩效评价结果</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广元市规划局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年部门整体支出绩效评价报告》见附件。</w:t>
      </w:r>
    </w:p>
    <w:p>
      <w:pPr>
        <w:widowControl/>
        <w:jc w:val="left"/>
        <w:rPr>
          <w:rFonts w:hint="eastAsia" w:ascii="仿宋_GB2312" w:eastAsia="仿宋_GB2312"/>
          <w:color w:val="000000"/>
          <w:sz w:val="32"/>
          <w:szCs w:val="32"/>
          <w:lang w:eastAsia="zh-CN"/>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7"/>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7"/>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17"/>
        <w:spacing w:line="560" w:lineRule="exact"/>
        <w:ind w:firstLine="640" w:firstLineChars="200"/>
        <w:jc w:val="both"/>
        <w:rPr>
          <w:rFonts w:ascii="仿宋_GB2312" w:eastAsia="仿宋_GB2312"/>
          <w:sz w:val="32"/>
          <w:szCs w:val="32"/>
        </w:rPr>
      </w:pPr>
      <w:bookmarkStart w:id="57"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7"/>
        <w:widowControl w:val="0"/>
        <w:wordWrap/>
        <w:autoSpaceDE w:val="0"/>
        <w:autoSpaceDN w:val="0"/>
        <w:adjustRightInd w:val="0"/>
        <w:snapToGrid/>
        <w:spacing w:line="560" w:lineRule="exact"/>
        <w:ind w:left="0" w:leftChars="0" w:right="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其他收入：指单位取得的除上述收入以外的各项</w:t>
      </w:r>
      <w:r>
        <w:rPr>
          <w:rFonts w:hint="eastAsia" w:ascii="仿宋_GB2312" w:eastAsia="仿宋_GB2312"/>
          <w:sz w:val="32"/>
          <w:szCs w:val="32"/>
          <w:lang w:eastAsia="zh-CN"/>
        </w:rPr>
        <w:t>收</w:t>
      </w:r>
      <w:r>
        <w:rPr>
          <w:rFonts w:hint="eastAsia" w:ascii="仿宋_GB2312" w:eastAsia="仿宋_GB2312"/>
          <w:sz w:val="32"/>
          <w:szCs w:val="32"/>
        </w:rPr>
        <w:t>入。</w:t>
      </w:r>
    </w:p>
    <w:p>
      <w:pPr>
        <w:pStyle w:val="17"/>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pStyle w:val="17"/>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5.</w:t>
      </w:r>
      <w:r>
        <w:rPr>
          <w:rStyle w:val="15"/>
          <w:rFonts w:hint="eastAsia" w:ascii="仿宋_GB2312" w:eastAsia="仿宋_GB2312"/>
          <w:b w:val="0"/>
          <w:bCs/>
          <w:color w:val="000000"/>
          <w:sz w:val="32"/>
          <w:szCs w:val="32"/>
        </w:rPr>
        <w:t>社会保障和就业</w:t>
      </w:r>
      <w:r>
        <w:rPr>
          <w:rStyle w:val="15"/>
          <w:rFonts w:hint="eastAsia" w:ascii="仿宋_GB2312" w:eastAsia="仿宋_GB2312"/>
          <w:b w:val="0"/>
          <w:bCs/>
          <w:color w:val="000000"/>
          <w:sz w:val="32"/>
          <w:szCs w:val="32"/>
          <w:lang w:eastAsia="zh-CN"/>
        </w:rPr>
        <w:t>支出</w:t>
      </w:r>
      <w:r>
        <w:rPr>
          <w:rStyle w:val="15"/>
          <w:rFonts w:hint="eastAsia" w:ascii="仿宋_GB2312" w:eastAsia="仿宋_GB2312"/>
          <w:b w:val="0"/>
          <w:bCs/>
          <w:color w:val="000000"/>
          <w:sz w:val="32"/>
          <w:szCs w:val="32"/>
        </w:rPr>
        <w:t>（类）行政事业单位离退休（款）机关事业单位基本养老保险缴费支出（项）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反映机关事业单位实施养老保险制度由单位缴纳的基本养老保险支出</w:t>
      </w:r>
      <w:r>
        <w:rPr>
          <w:rFonts w:hint="eastAsia" w:ascii="仿宋_GB2312" w:eastAsia="仿宋_GB2312"/>
          <w:color w:val="000000"/>
          <w:sz w:val="32"/>
          <w:szCs w:val="32"/>
        </w:rPr>
        <w:t>。</w:t>
      </w:r>
    </w:p>
    <w:p>
      <w:pPr>
        <w:spacing w:line="56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Style w:val="15"/>
          <w:rFonts w:hint="eastAsia" w:ascii="仿宋_GB2312" w:eastAsia="仿宋_GB2312"/>
          <w:b w:val="0"/>
          <w:bCs/>
          <w:color w:val="000000"/>
          <w:sz w:val="32"/>
          <w:szCs w:val="32"/>
        </w:rPr>
        <w:t>医疗卫生与计划生育（类）</w:t>
      </w:r>
      <w:r>
        <w:rPr>
          <w:rStyle w:val="15"/>
          <w:rFonts w:hint="eastAsia" w:ascii="仿宋_GB2312" w:eastAsia="仿宋_GB2312"/>
          <w:b w:val="0"/>
          <w:bCs/>
          <w:color w:val="000000"/>
          <w:sz w:val="32"/>
          <w:szCs w:val="32"/>
          <w:lang w:val="en-US" w:eastAsia="zh-CN"/>
        </w:rPr>
        <w:t>行政事业单位医疗</w:t>
      </w:r>
      <w:r>
        <w:rPr>
          <w:rStyle w:val="15"/>
          <w:rFonts w:hint="eastAsia" w:ascii="仿宋_GB2312" w:eastAsia="仿宋_GB2312"/>
          <w:b w:val="0"/>
          <w:bCs/>
          <w:color w:val="000000"/>
          <w:sz w:val="32"/>
          <w:szCs w:val="32"/>
        </w:rPr>
        <w:t>（款）</w:t>
      </w:r>
      <w:r>
        <w:rPr>
          <w:rStyle w:val="15"/>
          <w:rFonts w:hint="eastAsia" w:ascii="仿宋_GB2312" w:eastAsia="仿宋_GB2312"/>
          <w:b w:val="0"/>
          <w:bCs/>
          <w:color w:val="000000"/>
          <w:sz w:val="32"/>
          <w:szCs w:val="32"/>
          <w:lang w:val="en-US" w:eastAsia="zh-CN"/>
        </w:rPr>
        <w:t>事业单位医疗</w:t>
      </w:r>
      <w:r>
        <w:rPr>
          <w:rStyle w:val="15"/>
          <w:rFonts w:hint="eastAsia" w:ascii="仿宋_GB2312" w:eastAsia="仿宋_GB2312"/>
          <w:b w:val="0"/>
          <w:bCs/>
          <w:color w:val="000000"/>
          <w:sz w:val="32"/>
          <w:szCs w:val="32"/>
        </w:rPr>
        <w:t>（项）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反映财政部门集中安排的事业单位基本医疗保险缴费经费，未参加医疗保险的事业单位的公费医疗经费，按国家规定享受离休人员待遇的医疗经费</w:t>
      </w:r>
      <w:r>
        <w:rPr>
          <w:rFonts w:hint="eastAsia" w:ascii="仿宋_GB2312" w:eastAsia="仿宋_GB2312"/>
          <w:color w:val="000000"/>
          <w:sz w:val="32"/>
          <w:szCs w:val="32"/>
        </w:rPr>
        <w:t>。</w:t>
      </w:r>
    </w:p>
    <w:p>
      <w:pPr>
        <w:spacing w:line="56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Style w:val="15"/>
          <w:rFonts w:hint="eastAsia" w:ascii="仿宋_GB2312" w:eastAsia="仿宋_GB2312"/>
          <w:b w:val="0"/>
          <w:bCs/>
          <w:color w:val="000000"/>
          <w:sz w:val="32"/>
          <w:szCs w:val="32"/>
        </w:rPr>
        <w:t>城乡社区（类）城乡社区规划与管理（款）</w:t>
      </w:r>
      <w:r>
        <w:rPr>
          <w:rStyle w:val="15"/>
          <w:rFonts w:hint="eastAsia" w:ascii="仿宋_GB2312" w:eastAsia="仿宋_GB2312"/>
          <w:b w:val="0"/>
          <w:bCs/>
          <w:color w:val="000000"/>
          <w:sz w:val="32"/>
          <w:szCs w:val="32"/>
          <w:lang w:val="en-US" w:eastAsia="zh-CN"/>
        </w:rPr>
        <w:t>城乡社区规划与管理</w:t>
      </w:r>
      <w:r>
        <w:rPr>
          <w:rStyle w:val="15"/>
          <w:rFonts w:hint="eastAsia" w:ascii="仿宋_GB2312" w:eastAsia="仿宋_GB2312"/>
          <w:b w:val="0"/>
          <w:bCs/>
          <w:color w:val="000000"/>
          <w:sz w:val="32"/>
          <w:szCs w:val="32"/>
        </w:rPr>
        <w:t>（项</w:t>
      </w:r>
      <w:r>
        <w:rPr>
          <w:rStyle w:val="15"/>
          <w:rFonts w:hint="eastAsia" w:ascii="仿宋_GB2312" w:eastAsia="仿宋_GB2312"/>
          <w:b w:val="0"/>
          <w:bCs/>
          <w:color w:val="000000"/>
          <w:sz w:val="32"/>
          <w:szCs w:val="32"/>
          <w:lang w:eastAsia="zh-CN"/>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反映城乡社区、名胜风景区、防灾减灾、历史名城规划制定与管理方面的支出</w:t>
      </w:r>
      <w:r>
        <w:rPr>
          <w:rFonts w:hint="eastAsia" w:ascii="仿宋_GB2312" w:eastAsia="仿宋_GB2312"/>
          <w:color w:val="000000"/>
          <w:sz w:val="32"/>
          <w:szCs w:val="32"/>
        </w:rPr>
        <w:t>。</w:t>
      </w:r>
    </w:p>
    <w:p>
      <w:pPr>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Style w:val="15"/>
          <w:rFonts w:hint="eastAsia" w:ascii="仿宋_GB2312" w:eastAsia="仿宋_GB2312"/>
          <w:b w:val="0"/>
          <w:bCs/>
          <w:color w:val="auto"/>
          <w:sz w:val="32"/>
          <w:szCs w:val="32"/>
        </w:rPr>
        <w:t>住房保障</w:t>
      </w:r>
      <w:r>
        <w:rPr>
          <w:rStyle w:val="15"/>
          <w:rFonts w:hint="eastAsia" w:ascii="仿宋_GB2312" w:eastAsia="仿宋_GB2312"/>
          <w:b w:val="0"/>
          <w:bCs/>
          <w:color w:val="000000"/>
          <w:sz w:val="32"/>
          <w:szCs w:val="32"/>
        </w:rPr>
        <w:t>（类）</w:t>
      </w:r>
      <w:r>
        <w:rPr>
          <w:rStyle w:val="15"/>
          <w:rFonts w:hint="eastAsia" w:ascii="仿宋_GB2312" w:eastAsia="仿宋_GB2312"/>
          <w:b w:val="0"/>
          <w:bCs/>
          <w:color w:val="000000"/>
          <w:sz w:val="32"/>
          <w:szCs w:val="32"/>
          <w:lang w:val="en-US" w:eastAsia="zh-CN"/>
        </w:rPr>
        <w:t>住房改革支出</w:t>
      </w:r>
      <w:r>
        <w:rPr>
          <w:rStyle w:val="15"/>
          <w:rFonts w:hint="eastAsia" w:ascii="仿宋_GB2312" w:eastAsia="仿宋_GB2312"/>
          <w:b w:val="0"/>
          <w:bCs/>
          <w:color w:val="000000"/>
          <w:sz w:val="32"/>
          <w:szCs w:val="32"/>
        </w:rPr>
        <w:t>（款）</w:t>
      </w:r>
      <w:r>
        <w:rPr>
          <w:rStyle w:val="15"/>
          <w:rFonts w:hint="eastAsia" w:ascii="仿宋_GB2312" w:eastAsia="仿宋_GB2312"/>
          <w:b w:val="0"/>
          <w:bCs/>
          <w:color w:val="000000"/>
          <w:sz w:val="32"/>
          <w:szCs w:val="32"/>
          <w:lang w:val="en-US" w:eastAsia="zh-CN"/>
        </w:rPr>
        <w:t>住房公积金</w:t>
      </w:r>
      <w:r>
        <w:rPr>
          <w:rStyle w:val="15"/>
          <w:rFonts w:hint="eastAsia" w:ascii="仿宋_GB2312" w:eastAsia="仿宋_GB2312"/>
          <w:b w:val="0"/>
          <w:bCs/>
          <w:color w:val="000000"/>
          <w:sz w:val="32"/>
          <w:szCs w:val="32"/>
        </w:rPr>
        <w:t>（项）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反映行政事业单位按人力资源和社会保障部、财政部规定的基本工资和津贴补贴以及规定比例为职工缴纳住房公积金</w:t>
      </w:r>
      <w:r>
        <w:rPr>
          <w:rFonts w:hint="eastAsia" w:ascii="仿宋_GB2312" w:eastAsia="仿宋_GB2312"/>
          <w:color w:val="000000"/>
          <w:sz w:val="32"/>
          <w:szCs w:val="32"/>
        </w:rPr>
        <w:t>。</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jc w:val="both"/>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17"/>
        <w:spacing w:line="560" w:lineRule="exact"/>
        <w:ind w:firstLine="640" w:firstLineChars="200"/>
        <w:jc w:val="both"/>
        <w:rPr>
          <w:rFonts w:ascii="仿宋_GB2312" w:eastAsia="仿宋_GB2312"/>
          <w:sz w:val="32"/>
          <w:szCs w:val="32"/>
        </w:rPr>
      </w:pPr>
      <w:r>
        <w:rPr>
          <w:rFonts w:hint="eastAsia" w:ascii="仿宋_GB2312" w:eastAsia="仿宋_GB2312"/>
          <w:color w:val="000000"/>
          <w:sz w:val="32"/>
          <w:szCs w:val="32"/>
          <w:lang w:val="en-US" w:eastAsia="zh-CN"/>
        </w:rPr>
        <w:t>11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7"/>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7"/>
          <w:rFonts w:hint="eastAsia" w:ascii="黑体" w:hAnsi="黑体" w:eastAsia="黑体"/>
          <w:b w:val="0"/>
        </w:rPr>
        <w:t>四部分 附件</w:t>
      </w:r>
      <w:bookmarkEnd w:id="58"/>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广元市城乡规划局</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pPr>
        <w:pStyle w:val="5"/>
        <w:adjustRightInd w:val="0"/>
        <w:snapToGrid w:val="0"/>
        <w:spacing w:before="0" w:beforeLines="0" w:line="560" w:lineRule="exact"/>
        <w:ind w:firstLine="672" w:firstLineChars="210"/>
        <w:rPr>
          <w:rFonts w:ascii="仿宋" w:hAnsi="仿宋" w:eastAsia="仿宋" w:cs="仿宋_GB2312"/>
          <w:sz w:val="32"/>
          <w:szCs w:val="32"/>
        </w:rPr>
      </w:pPr>
      <w:r>
        <w:rPr>
          <w:rFonts w:hint="eastAsia"/>
          <w:color w:val="000000"/>
          <w:sz w:val="32"/>
          <w:szCs w:val="32"/>
        </w:rPr>
        <w:t>广元市城乡规划局于2015年10月30日成立</w:t>
      </w:r>
      <w:r>
        <w:rPr>
          <w:rFonts w:hint="eastAsia"/>
          <w:color w:val="000000"/>
          <w:sz w:val="32"/>
          <w:szCs w:val="32"/>
          <w:lang w:eastAsia="zh-CN"/>
        </w:rPr>
        <w:t>，</w:t>
      </w:r>
      <w:r>
        <w:rPr>
          <w:rFonts w:ascii="仿宋_GB2312" w:hAnsi="宋体" w:eastAsia="仿宋_GB2312" w:cs="仿宋_GB2312"/>
          <w:i w:val="0"/>
          <w:caps w:val="0"/>
          <w:color w:val="333333"/>
          <w:spacing w:val="0"/>
          <w:sz w:val="31"/>
          <w:szCs w:val="31"/>
          <w:shd w:val="clear" w:color="auto" w:fill="FFFFFF"/>
        </w:rPr>
        <w:t>目前下设办公室、规划编制科、建设工程规划科、建设用地规划科、市政工程规划科、村镇规划科等6个科室</w:t>
      </w:r>
      <w:r>
        <w:rPr>
          <w:rFonts w:hint="eastAsia" w:hAnsi="宋体" w:cs="仿宋_GB2312"/>
          <w:i w:val="0"/>
          <w:caps w:val="0"/>
          <w:color w:val="333333"/>
          <w:spacing w:val="0"/>
          <w:sz w:val="31"/>
          <w:szCs w:val="31"/>
          <w:shd w:val="clear" w:color="auto" w:fill="FFFFFF"/>
          <w:lang w:eastAsia="zh-CN"/>
        </w:rPr>
        <w:t>。</w:t>
      </w:r>
    </w:p>
    <w:p>
      <w:pPr>
        <w:numPr>
          <w:ilvl w:val="0"/>
          <w:numId w:val="4"/>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机构职能</w:t>
      </w:r>
    </w:p>
    <w:p>
      <w:pPr>
        <w:pStyle w:val="5"/>
        <w:adjustRightInd w:val="0"/>
        <w:snapToGrid w:val="0"/>
        <w:spacing w:before="0" w:beforeLines="0" w:line="560" w:lineRule="exact"/>
        <w:ind w:firstLine="672" w:firstLineChars="210"/>
        <w:rPr>
          <w:rFonts w:ascii="仿宋" w:hAnsi="仿宋" w:eastAsia="仿宋" w:cs="仿宋_GB2312"/>
          <w:sz w:val="32"/>
          <w:szCs w:val="32"/>
        </w:rPr>
      </w:pPr>
      <w:r>
        <w:rPr>
          <w:rFonts w:hint="eastAsia"/>
          <w:color w:val="000000"/>
          <w:sz w:val="32"/>
          <w:szCs w:val="32"/>
        </w:rPr>
        <w:t>贯彻执行国家有关城乡规划、城市可持续发展的法律、法规和方针、政策;负责全市城乡规划管理工作;起草城乡规划的规范性文件并组织实施;依法公布、公示、公开城乡规划的有关事项。承办城市总体规划的编制、修改和报批的具体工作;组织制定、修改近期建设规划并报总体规划审批机关备案;组织编制城市控制性详细规划、重要地块的修建性详细规划;会同有关部门编制各类专项规划;负责城市雕塑和户外广告规划及技术标准的编制管理工作;负责市级以上开发区、自然保护区、风景名胜保护区和森林公园总体规划及控制性详细规划编制;会同文物主管部门编制、审核历史文化名城、名镇、名村保护规划。参与江河流域规划、区域规划、土地利用总体规划、社会经济发展规划、建设规划和用地规划的制定。负责城市规划区内建设项目的选址定点，依法核发《建设项目选址意见书》和《建设用地规划许可证》，负责提出出让地块的规划条件(含变更)和附图;负责城市规划区内建设工程的规划审批，核发《建设工程规划许可证》;负责城市规划区内建设工程的放线、验线和竣工规划核实工作。负责城市规划区内的乡镇和村庄规划管理工作，依法核发《乡村建设规划许可证》。负责城市规划区内临时建设、临时用地的规划管理工作。负责市城乡规划委员会的日常工作。承担市政府公布的有关行政审批事项。承担市政府交办的其他事项。</w:t>
      </w:r>
    </w:p>
    <w:p>
      <w:pPr>
        <w:numPr>
          <w:ilvl w:val="0"/>
          <w:numId w:val="5"/>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人员概况</w:t>
      </w:r>
    </w:p>
    <w:p>
      <w:pPr>
        <w:pStyle w:val="5"/>
        <w:adjustRightInd w:val="0"/>
        <w:snapToGrid w:val="0"/>
        <w:spacing w:before="0" w:beforeLines="0" w:line="560" w:lineRule="exact"/>
        <w:ind w:firstLine="672" w:firstLineChars="210"/>
        <w:rPr>
          <w:rFonts w:ascii="仿宋" w:hAnsi="仿宋" w:eastAsia="仿宋" w:cs="仿宋_GB2312"/>
          <w:sz w:val="32"/>
          <w:szCs w:val="32"/>
        </w:rPr>
      </w:pPr>
      <w:r>
        <w:rPr>
          <w:rFonts w:hint="eastAsia"/>
          <w:color w:val="000000"/>
          <w:sz w:val="32"/>
          <w:szCs w:val="32"/>
        </w:rPr>
        <w:t>广元市城乡规划局</w:t>
      </w:r>
      <w:r>
        <w:rPr>
          <w:rFonts w:hint="eastAsia"/>
          <w:color w:val="000000"/>
          <w:sz w:val="32"/>
          <w:szCs w:val="32"/>
          <w:lang w:eastAsia="zh-CN"/>
        </w:rPr>
        <w:t>实有编制数</w:t>
      </w:r>
      <w:r>
        <w:rPr>
          <w:rFonts w:hint="eastAsia"/>
          <w:color w:val="000000"/>
          <w:sz w:val="32"/>
          <w:szCs w:val="32"/>
          <w:lang w:val="en-US" w:eastAsia="zh-CN"/>
        </w:rPr>
        <w:t>38名，2019年</w:t>
      </w:r>
      <w:r>
        <w:rPr>
          <w:rFonts w:hint="eastAsia"/>
          <w:color w:val="000000"/>
          <w:sz w:val="32"/>
          <w:szCs w:val="32"/>
          <w:lang w:eastAsia="zh-CN"/>
        </w:rPr>
        <w:t>在编</w:t>
      </w:r>
      <w:r>
        <w:rPr>
          <w:rFonts w:hint="eastAsia"/>
          <w:color w:val="000000"/>
          <w:sz w:val="32"/>
          <w:szCs w:val="32"/>
        </w:rPr>
        <w:t>事业单位</w:t>
      </w:r>
      <w:r>
        <w:rPr>
          <w:rFonts w:hint="eastAsia"/>
          <w:color w:val="000000"/>
          <w:sz w:val="32"/>
          <w:szCs w:val="32"/>
          <w:lang w:eastAsia="zh-CN"/>
        </w:rPr>
        <w:t>人员共计</w:t>
      </w:r>
      <w:r>
        <w:rPr>
          <w:rFonts w:hint="eastAsia"/>
          <w:color w:val="000000"/>
          <w:sz w:val="32"/>
          <w:szCs w:val="32"/>
          <w:lang w:val="en-US" w:eastAsia="zh-CN"/>
        </w:rPr>
        <w:t>25</w:t>
      </w:r>
      <w:r>
        <w:rPr>
          <w:rFonts w:hint="eastAsia"/>
          <w:color w:val="000000"/>
          <w:sz w:val="32"/>
          <w:szCs w:val="32"/>
        </w:rPr>
        <w:t>个。</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2019年广元市规划局全年收入总计1639.49万元，其中：一般公共预算财政拨款收入683.19万元，其他收入956.3万元（含2019年规划设计费收入872万元）。</w:t>
      </w:r>
    </w:p>
    <w:p>
      <w:pPr>
        <w:numPr>
          <w:ilvl w:val="0"/>
          <w:numId w:val="6"/>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widowControl/>
        <w:adjustRightInd w:val="0"/>
        <w:snapToGrid w:val="0"/>
        <w:spacing w:line="580" w:lineRule="exact"/>
        <w:ind w:firstLine="640" w:firstLineChars="200"/>
        <w:contextualSpacing/>
        <w:jc w:val="left"/>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2019年广元市规划局全年支出总计1139.62万元，其中：基本支出696.11万元，项目支出443.51万元。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在预算编制工作中严格按照财政部门的要求和口径编制部门预算，在预算编制中结合本部门工作实际，科学编制支出预算，优化支出结构，人员基础信息和科目使用准确，项目名称和内容规范，预算编制正确完整，无遗漏错编款项及虚报冒领款项，并在财政部门规定的时间内及时上报。</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在财政资金管理中认真执行有关法律法规和财经制度，单位内部财务管理制度健全，预算编制完整，预算执行到位，做到了财务公开、会计核算真实、规范，没有截留、挪用财政资金、擅自扩大或缩小资金使用范围、改变资金用途等现象，未在项目申报中弄虚作假，套取财政资金，保证了专项资金专款专用。</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lang w:eastAsia="zh-CN"/>
        </w:rPr>
        <w:t>四</w:t>
      </w:r>
      <w:r>
        <w:rPr>
          <w:rFonts w:hint="eastAsia" w:ascii="黑体" w:hAnsi="宋体" w:eastAsia="黑体"/>
          <w:sz w:val="32"/>
          <w:szCs w:val="32"/>
        </w:rPr>
        <w:t>、评价结论及建议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在财政资金管理中认真执行有关法律法规和财经制度，单位内部财务管理制度健全，预算编制完整，预算执行到位，做到了财务公开、会计核算真实、规范，没有截留、挪用财政资金、擅自扩大或缩小资金使用范围、改变资金用途等现象，未在项目申报中弄虚作假，套取财政资金，保证了专项资金专款专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部分绩效指标及目标值有待进一步细化和量化</w:t>
      </w:r>
      <w:r>
        <w:rPr>
          <w:rFonts w:hint="eastAsia" w:ascii="仿宋_GB2312" w:hAnsi="宋体" w:eastAsia="仿宋_GB2312" w:cs="宋体"/>
          <w:color w:val="000000"/>
          <w:kern w:val="0"/>
          <w:sz w:val="32"/>
          <w:szCs w:val="32"/>
          <w:shd w:val="clear" w:color="auto" w:fill="FFFFFF"/>
          <w:lang w:val="zh-CN" w:eastAsia="zh-CN"/>
        </w:rPr>
        <w:t>。</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尚未针对绩效考评制定比较明确的实施细则，有待进 一步完善。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 科学合理地设置绩效指标，提高预算绩效指标的针对性和可测性，充分发挥预算绩效目标管理的导向作用。</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 将预算编制与部门工作有机结合，进一步强化预算执行，提升财政资金使用效益。</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 建立和完善部门整体支出绩效考评实施细则，提高预算绩效管理水平。</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 做好基础信息的收集和分析工作，建立相关数据库，为绩效指标值的设置提供有益参考。</w:t>
      </w:r>
    </w:p>
    <w:p>
      <w:pPr>
        <w:spacing w:line="580" w:lineRule="exact"/>
        <w:ind w:firstLine="640" w:firstLineChars="200"/>
        <w:rPr>
          <w:rFonts w:ascii="仿宋_GB2312" w:hAnsi="仿宋_GB2312" w:eastAsia="仿宋_GB2312" w:cs="仿宋_GB2312"/>
          <w:sz w:val="32"/>
          <w:szCs w:val="32"/>
        </w:rPr>
      </w:pPr>
    </w:p>
    <w:p>
      <w:pPr>
        <w:spacing w:line="600" w:lineRule="exact"/>
        <w:jc w:val="both"/>
        <w:outlineLvl w:val="0"/>
        <w:rPr>
          <w:rStyle w:val="27"/>
          <w:rFonts w:ascii="黑体" w:hAnsi="黑体" w:eastAsia="黑体"/>
          <w:b w:val="0"/>
        </w:rPr>
      </w:pPr>
    </w:p>
    <w:p>
      <w:pPr>
        <w:spacing w:line="600" w:lineRule="exact"/>
        <w:jc w:val="both"/>
        <w:outlineLvl w:val="0"/>
        <w:rPr>
          <w:rStyle w:val="27"/>
          <w:rFonts w:ascii="黑体" w:hAnsi="黑体" w:eastAsia="黑体"/>
          <w:b w:val="0"/>
        </w:rPr>
      </w:pPr>
    </w:p>
    <w:p>
      <w:pPr>
        <w:spacing w:line="600" w:lineRule="exact"/>
        <w:jc w:val="both"/>
        <w:outlineLvl w:val="0"/>
        <w:rPr>
          <w:rStyle w:val="27"/>
          <w:rFonts w:ascii="黑体" w:hAnsi="黑体" w:eastAsia="黑体"/>
          <w:b w:val="0"/>
        </w:rPr>
      </w:pPr>
    </w:p>
    <w:p>
      <w:pPr>
        <w:spacing w:line="600" w:lineRule="exact"/>
        <w:jc w:val="both"/>
        <w:outlineLvl w:val="0"/>
        <w:rPr>
          <w:rStyle w:val="27"/>
          <w:rFonts w:ascii="黑体" w:hAnsi="黑体" w:eastAsia="黑体"/>
          <w:b w:val="0"/>
        </w:rPr>
      </w:pPr>
    </w:p>
    <w:p>
      <w:pPr>
        <w:spacing w:line="600" w:lineRule="exact"/>
        <w:jc w:val="both"/>
        <w:outlineLvl w:val="0"/>
        <w:rPr>
          <w:rStyle w:val="27"/>
          <w:rFonts w:ascii="黑体" w:hAnsi="黑体" w:eastAsia="黑体"/>
          <w:b w:val="0"/>
        </w:rPr>
      </w:pPr>
    </w:p>
    <w:p>
      <w:pPr>
        <w:spacing w:line="600" w:lineRule="exact"/>
        <w:jc w:val="both"/>
        <w:outlineLvl w:val="0"/>
        <w:rPr>
          <w:rStyle w:val="27"/>
          <w:rFonts w:ascii="黑体" w:hAnsi="黑体" w:eastAsia="黑体"/>
          <w:b w:val="0"/>
        </w:rPr>
      </w:pPr>
    </w:p>
    <w:p>
      <w:pPr>
        <w:spacing w:line="600" w:lineRule="exact"/>
        <w:jc w:val="both"/>
        <w:outlineLvl w:val="0"/>
        <w:rPr>
          <w:rStyle w:val="27"/>
          <w:rFonts w:ascii="黑体" w:hAnsi="黑体" w:eastAsia="黑体"/>
          <w:b w:val="0"/>
        </w:rPr>
      </w:pPr>
    </w:p>
    <w:p>
      <w:pPr>
        <w:spacing w:line="600" w:lineRule="exact"/>
        <w:jc w:val="both"/>
        <w:outlineLvl w:val="0"/>
        <w:rPr>
          <w:rStyle w:val="27"/>
          <w:rFonts w:ascii="黑体" w:hAnsi="黑体" w:eastAsia="黑体"/>
          <w:b w:val="0"/>
        </w:rPr>
      </w:pPr>
    </w:p>
    <w:p>
      <w:pPr>
        <w:spacing w:line="600" w:lineRule="exact"/>
        <w:jc w:val="both"/>
        <w:outlineLvl w:val="0"/>
        <w:rPr>
          <w:rStyle w:val="27"/>
          <w:rFonts w:ascii="黑体" w:hAnsi="黑体" w:eastAsia="黑体"/>
          <w:b w:val="0"/>
        </w:rPr>
      </w:pPr>
    </w:p>
    <w:p>
      <w:pPr>
        <w:spacing w:line="600" w:lineRule="exact"/>
        <w:jc w:val="both"/>
        <w:outlineLvl w:val="0"/>
        <w:rPr>
          <w:rStyle w:val="27"/>
          <w:rFonts w:ascii="黑体" w:hAnsi="黑体" w:eastAsia="黑体"/>
          <w:b w:val="0"/>
        </w:rPr>
      </w:pPr>
    </w:p>
    <w:p>
      <w:pPr>
        <w:spacing w:line="600" w:lineRule="exact"/>
        <w:jc w:val="both"/>
        <w:outlineLvl w:val="0"/>
        <w:rPr>
          <w:rStyle w:val="27"/>
          <w:rFonts w:ascii="黑体" w:hAnsi="黑体" w:eastAsia="黑体"/>
          <w:b w:val="0"/>
        </w:rPr>
      </w:pPr>
    </w:p>
    <w:p>
      <w:pPr>
        <w:spacing w:line="600" w:lineRule="exact"/>
        <w:jc w:val="both"/>
        <w:outlineLvl w:val="0"/>
        <w:rPr>
          <w:rStyle w:val="27"/>
          <w:rFonts w:ascii="黑体" w:hAnsi="黑体" w:eastAsia="黑体"/>
          <w:b w:val="0"/>
        </w:rPr>
      </w:pPr>
    </w:p>
    <w:p>
      <w:pPr>
        <w:spacing w:line="600" w:lineRule="exact"/>
        <w:jc w:val="both"/>
        <w:outlineLvl w:val="0"/>
        <w:rPr>
          <w:rStyle w:val="27"/>
          <w:rFonts w:ascii="黑体" w:hAnsi="黑体" w:eastAsia="黑体"/>
          <w:b w:val="0"/>
        </w:rPr>
      </w:pPr>
    </w:p>
    <w:p>
      <w:pPr>
        <w:spacing w:line="600" w:lineRule="exact"/>
        <w:jc w:val="both"/>
        <w:outlineLvl w:val="0"/>
        <w:rPr>
          <w:rStyle w:val="27"/>
          <w:rFonts w:ascii="黑体" w:hAnsi="黑体" w:eastAsia="黑体"/>
          <w:b w:val="0"/>
        </w:rPr>
      </w:pPr>
    </w:p>
    <w:p>
      <w:pPr>
        <w:spacing w:line="600" w:lineRule="exact"/>
        <w:jc w:val="center"/>
        <w:outlineLvl w:val="0"/>
        <w:rPr>
          <w:rStyle w:val="27"/>
          <w:rFonts w:ascii="黑体" w:hAnsi="黑体" w:eastAsia="黑体"/>
          <w:b w:val="0"/>
        </w:rPr>
      </w:pPr>
      <w:bookmarkStart w:id="59" w:name="_Toc15396618"/>
      <w:r>
        <w:rPr>
          <w:rFonts w:hint="eastAsia" w:ascii="黑体" w:hAnsi="黑体" w:eastAsia="黑体"/>
          <w:color w:val="000000"/>
          <w:sz w:val="44"/>
          <w:szCs w:val="44"/>
        </w:rPr>
        <w:t>第</w:t>
      </w:r>
      <w:r>
        <w:rPr>
          <w:rStyle w:val="27"/>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63"/>
    </w:p>
    <w:p>
      <w:pPr>
        <w:pStyle w:val="3"/>
        <w:rPr>
          <w:rStyle w:val="28"/>
          <w:rFonts w:ascii="仿宋" w:hAnsi="仿宋" w:eastAsia="仿宋"/>
          <w:b w:val="0"/>
          <w:bCs w:val="0"/>
        </w:rPr>
      </w:pPr>
      <w:bookmarkStart w:id="64"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71"/>
    </w:p>
    <w:p>
      <w:pPr>
        <w:pStyle w:val="3"/>
        <w:rPr>
          <w:rFonts w:ascii="仿宋" w:hAnsi="仿宋" w:eastAsia="仿宋"/>
          <w:color w:val="000000"/>
        </w:rPr>
      </w:pPr>
      <w:bookmarkStart w:id="72"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72"/>
    </w:p>
    <w:sectPr>
      <w:footerReference r:id="rId8" w:type="first"/>
      <w:footerReference r:id="rId7" w:type="default"/>
      <w:pgSz w:w="11906" w:h="16838"/>
      <w:pgMar w:top="1440" w:right="1800" w:bottom="1440" w:left="1800" w:header="851" w:footer="992" w:gutter="0"/>
      <w:paperSrc/>
      <w:pgNumType w:fmt="decimal" w:start="1"/>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rPr>
        <w:rFonts w:hint="eastAsia"/>
        <w:lang w:val="en-US" w:eastAsia="zh-CN"/>
      </w:rPr>
    </w:pPr>
    <w:r>
      <w:rPr>
        <w:rFonts w:ascii="Times New Roman" w:hAnsi="Times New Roman" w:eastAsia="宋体" w:cs="Times New Roman"/>
        <w:kern w:val="2"/>
        <w:sz w:val="21"/>
        <w:szCs w:val="24"/>
        <w:lang w:val="en-US" w:eastAsia="zh-CN" w:bidi="ar-SA"/>
      </w:rPr>
      <w:pict>
        <v:shape id="文本框 9" o:spid="_x0000_s2050" o:spt="202" type="#_x0000_t202"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p>
            </w:txbxContent>
          </v:textbox>
        </v:shape>
      </w:pict>
    </w:r>
    <w:r>
      <w:rPr>
        <w:rFonts w:ascii="Times New Roman" w:hAnsi="Times New Roman" w:eastAsia="宋体" w:cs="Times New Roman"/>
        <w:kern w:val="2"/>
        <w:sz w:val="21"/>
        <w:szCs w:val="24"/>
        <w:lang w:val="en-US" w:eastAsia="zh-CN" w:bidi="ar-SA"/>
      </w:rPr>
      <w:pict>
        <v:shape id="文本框 1" o:spid="_x0000_s2051"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lang w:eastAsia="zh-CN"/>
                  </w:rPr>
                </w:pPr>
              </w:p>
            </w:txbxContent>
          </v:textbox>
        </v:shape>
      </w:pict>
    </w:r>
    <w:r>
      <w:rPr>
        <w:rFonts w:hint="eastAsia"/>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Calibri" w:hAnsi="Calibri" w:eastAsia="宋体" w:cs="Times New Roman"/>
        <w:kern w:val="0"/>
        <w:sz w:val="18"/>
        <w:szCs w:val="18"/>
        <w:lang w:val="en-US" w:eastAsia="zh-CN" w:bidi="ar-SA"/>
      </w:rPr>
      <w:pict>
        <v:shape id="文本框 2" o:spid="_x0000_s2049"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lang w:val="en-US" w:eastAsia="zh-CN"/>
                  </w:rPr>
                </w:pP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rPr>
        <w:rFonts w:hint="eastAsia"/>
        <w:lang w:val="en-US" w:eastAsia="zh-CN"/>
      </w:rPr>
    </w:pPr>
    <w:r>
      <w:rPr>
        <w:rFonts w:ascii="Times New Roman" w:hAnsi="Times New Roman" w:eastAsia="宋体" w:cs="Times New Roman"/>
        <w:kern w:val="2"/>
        <w:sz w:val="21"/>
        <w:szCs w:val="24"/>
        <w:lang w:val="en-US" w:eastAsia="zh-CN" w:bidi="ar-SA"/>
      </w:rPr>
      <w:pict>
        <v:shape id="文本框 8" o:spid="_x0000_s2054" o:spt="202" type="#_x0000_t202" style="position:absolute;left:0pt;margin-top:0pt;height:144pt;width:144pt;mso-position-horizontal:center;mso-position-horizontal-relative:margin;mso-wrap-style:none;z-index:2516654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2</w:t>
                </w:r>
                <w:r>
                  <w:rPr>
                    <w:rFonts w:hint="eastAsia"/>
                    <w:sz w:val="18"/>
                    <w:lang w:eastAsia="zh-CN"/>
                  </w:rPr>
                  <w:fldChar w:fldCharType="end"/>
                </w:r>
              </w:p>
            </w:txbxContent>
          </v:textbox>
        </v:shape>
      </w:pict>
    </w:r>
    <w:r>
      <w:rPr>
        <w:rFonts w:ascii="Times New Roman" w:hAnsi="Times New Roman" w:eastAsia="宋体" w:cs="Times New Roman"/>
        <w:kern w:val="2"/>
        <w:sz w:val="21"/>
        <w:szCs w:val="24"/>
        <w:lang w:val="en-US" w:eastAsia="zh-CN" w:bidi="ar-SA"/>
      </w:rPr>
      <w:pict>
        <v:shape id="_x0000_s2055" o:spid="_x0000_s2055" o:spt="202" type="#_x0000_t202" style="position:absolute;left:0pt;margin-top:0pt;height:144pt;width:144pt;mso-position-horizontal:center;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p>
            </w:txbxContent>
          </v:textbox>
        </v:shape>
      </w:pict>
    </w:r>
    <w:r>
      <w:rPr>
        <w:rFonts w:ascii="Times New Roman" w:hAnsi="Times New Roman" w:eastAsia="宋体" w:cs="Times New Roman"/>
        <w:kern w:val="2"/>
        <w:sz w:val="21"/>
        <w:szCs w:val="24"/>
        <w:lang w:val="en-US" w:eastAsia="zh-CN" w:bidi="ar-SA"/>
      </w:rPr>
      <w:pict>
        <v:shape id="_x0000_s2056" o:spid="_x0000_s2056" o:spt="202" type="#_x0000_t202"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lang w:eastAsia="zh-CN"/>
                  </w:rPr>
                </w:pPr>
              </w:p>
            </w:txbxContent>
          </v:textbox>
        </v:shape>
      </w:pict>
    </w:r>
    <w:r>
      <w:rPr>
        <w:rFonts w:hint="eastAsia"/>
        <w:lang w:val="en-US"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eastAsia="zh-CN"/>
      </w:rPr>
    </w:pPr>
    <w:r>
      <w:rPr>
        <w:rFonts w:ascii="Calibri" w:hAnsi="Calibri" w:eastAsia="宋体" w:cs="Times New Roman"/>
        <w:kern w:val="0"/>
        <w:sz w:val="18"/>
        <w:szCs w:val="18"/>
        <w:lang w:val="en-US" w:eastAsia="zh-CN" w:bidi="ar-SA"/>
      </w:rPr>
      <w:pict>
        <v:shape id="_x0000_s2052" o:spid="_x0000_s2052" o:spt="202" type="#_x0000_t202" style="position:absolute;left:0pt;margin-left:206.15pt;margin-top:8.25pt;height:13.5pt;width:6pt;mso-position-horizontal-relative:margin;z-index:25166643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r>
      <w:rPr>
        <w:rFonts w:ascii="Calibri" w:hAnsi="Calibri" w:eastAsia="宋体" w:cs="Times New Roman"/>
        <w:kern w:val="0"/>
        <w:sz w:val="18"/>
        <w:szCs w:val="18"/>
        <w:lang w:val="en-US" w:eastAsia="zh-CN" w:bidi="ar-SA"/>
      </w:rPr>
      <w:pict>
        <v:shape id="_x0000_s2053" o:spid="_x0000_s2053" o:spt="202" type="#_x0000_t202" style="position:absolute;left:0pt;margin-top:0pt;height:144pt;width:144pt;mso-position-horizontal:center;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lang w:val="en-US" w:eastAsia="zh-CN"/>
                  </w:rPr>
                </w:pPr>
              </w:p>
            </w:txbxContent>
          </v:textbox>
        </v:shape>
      </w:pict>
    </w:r>
    <w:r>
      <w:rPr>
        <w:rFonts w:hint="eastAsia"/>
        <w:lang w:eastAsia="zh-CN"/>
      </w:rPr>
      <w:tab/>
    </w:r>
  </w:p>
  <w:p>
    <w:pPr>
      <w:pStyle w:val="8"/>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FFFFFF" w:sz="6"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D819643"/>
    <w:multiLevelType w:val="singleLevel"/>
    <w:tmpl w:val="5D819643"/>
    <w:lvl w:ilvl="0" w:tentative="0">
      <w:start w:val="2"/>
      <w:numFmt w:val="chineseCounting"/>
      <w:suff w:val="nothing"/>
      <w:lvlText w:val="（%1）"/>
      <w:lvlJc w:val="left"/>
    </w:lvl>
  </w:abstractNum>
  <w:abstractNum w:abstractNumId="4">
    <w:nsid w:val="5D819657"/>
    <w:multiLevelType w:val="singleLevel"/>
    <w:tmpl w:val="5D819657"/>
    <w:lvl w:ilvl="0" w:tentative="0">
      <w:start w:val="3"/>
      <w:numFmt w:val="chineseCounting"/>
      <w:suff w:val="nothing"/>
      <w:lvlText w:val="（%1）"/>
      <w:lvlJc w:val="left"/>
    </w:lvl>
  </w:abstractNum>
  <w:abstractNum w:abstractNumId="5">
    <w:nsid w:val="5D81976C"/>
    <w:multiLevelType w:val="singleLevel"/>
    <w:tmpl w:val="5D81976C"/>
    <w:lvl w:ilvl="0" w:tentative="0">
      <w:start w:val="2"/>
      <w:numFmt w:val="chineseCounting"/>
      <w:suff w:val="nothing"/>
      <w:lvlText w:val="（%1）"/>
      <w:lvlJc w:val="left"/>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28A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84A4F"/>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2335"/>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21F5"/>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C65E1"/>
    <w:rsid w:val="01902D1C"/>
    <w:rsid w:val="01AD00CE"/>
    <w:rsid w:val="023625B0"/>
    <w:rsid w:val="02436043"/>
    <w:rsid w:val="033F4FE1"/>
    <w:rsid w:val="03602F97"/>
    <w:rsid w:val="069914E0"/>
    <w:rsid w:val="06A9757C"/>
    <w:rsid w:val="06B04988"/>
    <w:rsid w:val="06EE69EC"/>
    <w:rsid w:val="09770614"/>
    <w:rsid w:val="09E92ED1"/>
    <w:rsid w:val="0A25013B"/>
    <w:rsid w:val="0A2E2341"/>
    <w:rsid w:val="0A6B21A6"/>
    <w:rsid w:val="0A904964"/>
    <w:rsid w:val="0AFA0790"/>
    <w:rsid w:val="0B5F5F36"/>
    <w:rsid w:val="0B7F09E9"/>
    <w:rsid w:val="0C296C83"/>
    <w:rsid w:val="0CE628BA"/>
    <w:rsid w:val="0D976E5A"/>
    <w:rsid w:val="0DEF52EA"/>
    <w:rsid w:val="0EC15643"/>
    <w:rsid w:val="0EE448FE"/>
    <w:rsid w:val="0F1D4779"/>
    <w:rsid w:val="101C207C"/>
    <w:rsid w:val="109045B9"/>
    <w:rsid w:val="10C055FF"/>
    <w:rsid w:val="12591626"/>
    <w:rsid w:val="128724F6"/>
    <w:rsid w:val="13DF0529"/>
    <w:rsid w:val="146177FD"/>
    <w:rsid w:val="14FF7D2F"/>
    <w:rsid w:val="1518152A"/>
    <w:rsid w:val="16184950"/>
    <w:rsid w:val="16892685"/>
    <w:rsid w:val="16BB723D"/>
    <w:rsid w:val="16DA4A0E"/>
    <w:rsid w:val="16DC468E"/>
    <w:rsid w:val="16F220B5"/>
    <w:rsid w:val="171F3E7E"/>
    <w:rsid w:val="176B64FB"/>
    <w:rsid w:val="17D50129"/>
    <w:rsid w:val="17EA484B"/>
    <w:rsid w:val="17EB22CD"/>
    <w:rsid w:val="181B2E1C"/>
    <w:rsid w:val="196675BB"/>
    <w:rsid w:val="1A135155"/>
    <w:rsid w:val="1AE01026"/>
    <w:rsid w:val="1AFF18DB"/>
    <w:rsid w:val="1B6B3188"/>
    <w:rsid w:val="1BFE5F7A"/>
    <w:rsid w:val="1C135F20"/>
    <w:rsid w:val="1CAB7398"/>
    <w:rsid w:val="1CD65C5D"/>
    <w:rsid w:val="1D07642C"/>
    <w:rsid w:val="1D2F1B6F"/>
    <w:rsid w:val="1DD138F7"/>
    <w:rsid w:val="1F240D25"/>
    <w:rsid w:val="1F2A2C2F"/>
    <w:rsid w:val="1F4D0F5D"/>
    <w:rsid w:val="1F7155A1"/>
    <w:rsid w:val="1F77171F"/>
    <w:rsid w:val="206416B2"/>
    <w:rsid w:val="20C11A4B"/>
    <w:rsid w:val="22384AB0"/>
    <w:rsid w:val="23B1689B"/>
    <w:rsid w:val="23D16DD0"/>
    <w:rsid w:val="240371BF"/>
    <w:rsid w:val="24D334FA"/>
    <w:rsid w:val="252541FE"/>
    <w:rsid w:val="25477C36"/>
    <w:rsid w:val="25DB26A8"/>
    <w:rsid w:val="25F200CF"/>
    <w:rsid w:val="269243D5"/>
    <w:rsid w:val="27CF604A"/>
    <w:rsid w:val="28E0749D"/>
    <w:rsid w:val="291A637D"/>
    <w:rsid w:val="29AC36EE"/>
    <w:rsid w:val="29FD04D3"/>
    <w:rsid w:val="2A22332C"/>
    <w:rsid w:val="2A82464A"/>
    <w:rsid w:val="2C0D1BD3"/>
    <w:rsid w:val="2C252AFD"/>
    <w:rsid w:val="2E07737E"/>
    <w:rsid w:val="2E990003"/>
    <w:rsid w:val="2EAA029D"/>
    <w:rsid w:val="30002DCD"/>
    <w:rsid w:val="302A3C11"/>
    <w:rsid w:val="302F391C"/>
    <w:rsid w:val="30717C09"/>
    <w:rsid w:val="309767C4"/>
    <w:rsid w:val="30A438DB"/>
    <w:rsid w:val="30D46628"/>
    <w:rsid w:val="30E30E41"/>
    <w:rsid w:val="31597F9A"/>
    <w:rsid w:val="317C35BE"/>
    <w:rsid w:val="319F7F4E"/>
    <w:rsid w:val="31B6249E"/>
    <w:rsid w:val="32BC3F4B"/>
    <w:rsid w:val="34527864"/>
    <w:rsid w:val="34933B51"/>
    <w:rsid w:val="349415D2"/>
    <w:rsid w:val="34DB3F45"/>
    <w:rsid w:val="35C032BE"/>
    <w:rsid w:val="35D72EE3"/>
    <w:rsid w:val="35F9471D"/>
    <w:rsid w:val="367F45F6"/>
    <w:rsid w:val="368F6E0E"/>
    <w:rsid w:val="36CE7BF8"/>
    <w:rsid w:val="37CC604C"/>
    <w:rsid w:val="389D10ED"/>
    <w:rsid w:val="39453E84"/>
    <w:rsid w:val="3B056063"/>
    <w:rsid w:val="3B341131"/>
    <w:rsid w:val="3BD16A31"/>
    <w:rsid w:val="3CF84295"/>
    <w:rsid w:val="3D895D82"/>
    <w:rsid w:val="3DFA2BBE"/>
    <w:rsid w:val="3E8911A8"/>
    <w:rsid w:val="3ED14B60"/>
    <w:rsid w:val="3F584CF9"/>
    <w:rsid w:val="3F5B5C7D"/>
    <w:rsid w:val="3FD014BF"/>
    <w:rsid w:val="4054182D"/>
    <w:rsid w:val="417B55F5"/>
    <w:rsid w:val="41803404"/>
    <w:rsid w:val="418D4C98"/>
    <w:rsid w:val="42862E4A"/>
    <w:rsid w:val="429B73D4"/>
    <w:rsid w:val="42F13B2B"/>
    <w:rsid w:val="440A08B0"/>
    <w:rsid w:val="44266B5B"/>
    <w:rsid w:val="44333C72"/>
    <w:rsid w:val="44457410"/>
    <w:rsid w:val="448B2102"/>
    <w:rsid w:val="46367BC0"/>
    <w:rsid w:val="465813F9"/>
    <w:rsid w:val="46B04006"/>
    <w:rsid w:val="474A0981"/>
    <w:rsid w:val="4757351A"/>
    <w:rsid w:val="47B34B2D"/>
    <w:rsid w:val="487F2F7D"/>
    <w:rsid w:val="48C514F3"/>
    <w:rsid w:val="48FB0348"/>
    <w:rsid w:val="49547ADD"/>
    <w:rsid w:val="498615B1"/>
    <w:rsid w:val="49943397"/>
    <w:rsid w:val="4A041E7F"/>
    <w:rsid w:val="4A824CCC"/>
    <w:rsid w:val="4BAA5A33"/>
    <w:rsid w:val="4DFA3FFE"/>
    <w:rsid w:val="4E1622A9"/>
    <w:rsid w:val="4E4C4D02"/>
    <w:rsid w:val="4E8E6A70"/>
    <w:rsid w:val="4E9D3807"/>
    <w:rsid w:val="4EBE17BD"/>
    <w:rsid w:val="4ECE2238"/>
    <w:rsid w:val="4F0F02C3"/>
    <w:rsid w:val="4F714AE4"/>
    <w:rsid w:val="4F7A31F5"/>
    <w:rsid w:val="4FC357E8"/>
    <w:rsid w:val="504A004A"/>
    <w:rsid w:val="50E36F44"/>
    <w:rsid w:val="51193B9B"/>
    <w:rsid w:val="51627812"/>
    <w:rsid w:val="530E2D51"/>
    <w:rsid w:val="53772781"/>
    <w:rsid w:val="53BE7672"/>
    <w:rsid w:val="53EE23BF"/>
    <w:rsid w:val="54234E18"/>
    <w:rsid w:val="55EE5388"/>
    <w:rsid w:val="577B5E13"/>
    <w:rsid w:val="5874602B"/>
    <w:rsid w:val="59F43024"/>
    <w:rsid w:val="5A5B044A"/>
    <w:rsid w:val="5AE470AA"/>
    <w:rsid w:val="5B3F1D42"/>
    <w:rsid w:val="5C9522F3"/>
    <w:rsid w:val="5D882B80"/>
    <w:rsid w:val="5E72057F"/>
    <w:rsid w:val="5EBA1FF9"/>
    <w:rsid w:val="611A085E"/>
    <w:rsid w:val="612A0AF8"/>
    <w:rsid w:val="61595DC4"/>
    <w:rsid w:val="619F2CB5"/>
    <w:rsid w:val="61A65EC3"/>
    <w:rsid w:val="61B606DC"/>
    <w:rsid w:val="630A578B"/>
    <w:rsid w:val="63C4043C"/>
    <w:rsid w:val="640D40B4"/>
    <w:rsid w:val="64105038"/>
    <w:rsid w:val="641F7851"/>
    <w:rsid w:val="643F2304"/>
    <w:rsid w:val="64746F5B"/>
    <w:rsid w:val="651B67EF"/>
    <w:rsid w:val="66293129"/>
    <w:rsid w:val="667444A2"/>
    <w:rsid w:val="66834ABD"/>
    <w:rsid w:val="67364B47"/>
    <w:rsid w:val="67F95923"/>
    <w:rsid w:val="6923630A"/>
    <w:rsid w:val="69D803B7"/>
    <w:rsid w:val="6A5A768C"/>
    <w:rsid w:val="6A7A213F"/>
    <w:rsid w:val="6A9A4BF2"/>
    <w:rsid w:val="6AD43AD2"/>
    <w:rsid w:val="6B365B1A"/>
    <w:rsid w:val="6BF151A3"/>
    <w:rsid w:val="6C2446F9"/>
    <w:rsid w:val="6CA94952"/>
    <w:rsid w:val="6D3909BE"/>
    <w:rsid w:val="6D4F63E5"/>
    <w:rsid w:val="6DAC5479"/>
    <w:rsid w:val="6DFC1D81"/>
    <w:rsid w:val="6F057A72"/>
    <w:rsid w:val="6FDC6A13"/>
    <w:rsid w:val="709561C1"/>
    <w:rsid w:val="7232131A"/>
    <w:rsid w:val="72601D91"/>
    <w:rsid w:val="72734D90"/>
    <w:rsid w:val="73B95A69"/>
    <w:rsid w:val="73D7089D"/>
    <w:rsid w:val="742B4AA4"/>
    <w:rsid w:val="76920715"/>
    <w:rsid w:val="76C26CE6"/>
    <w:rsid w:val="78E940ED"/>
    <w:rsid w:val="796075AF"/>
    <w:rsid w:val="79745AE7"/>
    <w:rsid w:val="79EC2A16"/>
    <w:rsid w:val="7A29287B"/>
    <w:rsid w:val="7A3A4D14"/>
    <w:rsid w:val="7B492952"/>
    <w:rsid w:val="7B8D4340"/>
    <w:rsid w:val="7C3051CE"/>
    <w:rsid w:val="7C9B487E"/>
    <w:rsid w:val="7CBA7331"/>
    <w:rsid w:val="7E4F1946"/>
    <w:rsid w:val="7E870BA6"/>
    <w:rsid w:val="7E8A62A7"/>
    <w:rsid w:val="7F1B3618"/>
    <w:rsid w:val="7F9035D7"/>
    <w:rsid w:val="7FE83C6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Body Text"/>
    <w:basedOn w:val="1"/>
    <w:link w:val="26"/>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unhideWhenUsed/>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uiPriority w:val="99"/>
    <w:pPr>
      <w:spacing w:before="100" w:beforeAutospacing="1" w:after="100" w:afterAutospacing="1"/>
      <w:jc w:val="left"/>
    </w:pPr>
    <w:rPr>
      <w:kern w:val="0"/>
      <w:sz w:val="24"/>
      <w:szCs w:val="20"/>
    </w:rPr>
  </w:style>
  <w:style w:type="character" w:styleId="15">
    <w:name w:val="Strong"/>
    <w:basedOn w:val="14"/>
    <w:qFormat/>
    <w:uiPriority w:val="99"/>
    <w:rPr>
      <w:b/>
    </w:rPr>
  </w:style>
  <w:style w:type="character" w:styleId="16">
    <w:name w:val="Hyperlink"/>
    <w:basedOn w:val="14"/>
    <w:unhideWhenUsed/>
    <w:qFormat/>
    <w:uiPriority w:val="99"/>
    <w:rPr>
      <w:color w:val="0000FF"/>
      <w:u w:val="single"/>
    </w:rPr>
  </w:style>
  <w:style w:type="paragraph" w:customStyle="1" w:styleId="17">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List Paragraph"/>
    <w:basedOn w:val="1"/>
    <w:qFormat/>
    <w:uiPriority w:val="34"/>
    <w:pPr>
      <w:ind w:firstLine="420" w:firstLineChars="200"/>
    </w:pPr>
  </w:style>
  <w:style w:type="paragraph" w:customStyle="1" w:styleId="19">
    <w:name w:val="TOC 标题1"/>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0">
    <w:name w:val="TOC Heading"/>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21">
    <w:name w:val="Header Char"/>
    <w:basedOn w:val="14"/>
    <w:semiHidden/>
    <w:qFormat/>
    <w:uiPriority w:val="99"/>
    <w:rPr>
      <w:rFonts w:ascii="Times New Roman" w:hAnsi="Times New Roman"/>
      <w:sz w:val="18"/>
      <w:szCs w:val="18"/>
    </w:rPr>
  </w:style>
  <w:style w:type="character" w:customStyle="1" w:styleId="22">
    <w:name w:val="页眉 Char"/>
    <w:link w:val="9"/>
    <w:semiHidden/>
    <w:qFormat/>
    <w:locked/>
    <w:uiPriority w:val="99"/>
    <w:rPr>
      <w:sz w:val="18"/>
    </w:rPr>
  </w:style>
  <w:style w:type="character" w:customStyle="1" w:styleId="23">
    <w:name w:val="Footer Char"/>
    <w:basedOn w:val="14"/>
    <w:semiHidden/>
    <w:qFormat/>
    <w:uiPriority w:val="99"/>
    <w:rPr>
      <w:rFonts w:ascii="Times New Roman" w:hAnsi="Times New Roman"/>
      <w:sz w:val="18"/>
      <w:szCs w:val="18"/>
    </w:rPr>
  </w:style>
  <w:style w:type="character" w:customStyle="1" w:styleId="24">
    <w:name w:val="页脚 Char"/>
    <w:link w:val="8"/>
    <w:qFormat/>
    <w:locked/>
    <w:uiPriority w:val="99"/>
    <w:rPr>
      <w:sz w:val="18"/>
    </w:rPr>
  </w:style>
  <w:style w:type="character" w:customStyle="1" w:styleId="25">
    <w:name w:val="Body Text Char"/>
    <w:basedOn w:val="14"/>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character" w:customStyle="1" w:styleId="27">
    <w:name w:val="标题 1 Char"/>
    <w:basedOn w:val="14"/>
    <w:link w:val="2"/>
    <w:qFormat/>
    <w:uiPriority w:val="9"/>
    <w:rPr>
      <w:rFonts w:ascii="Times New Roman" w:hAnsi="Times New Roman"/>
      <w:b/>
      <w:bCs/>
      <w:kern w:val="44"/>
      <w:sz w:val="44"/>
      <w:szCs w:val="44"/>
    </w:rPr>
  </w:style>
  <w:style w:type="character" w:customStyle="1" w:styleId="28">
    <w:name w:val="标题 2 Char"/>
    <w:basedOn w:val="14"/>
    <w:link w:val="3"/>
    <w:qFormat/>
    <w:uiPriority w:val="9"/>
    <w:rPr>
      <w:rFonts w:ascii="Cambria" w:hAnsi="Cambria" w:eastAsia="宋体" w:cs="黑体"/>
      <w:b/>
      <w:bCs/>
      <w:kern w:val="2"/>
      <w:sz w:val="32"/>
      <w:szCs w:val="32"/>
    </w:rPr>
  </w:style>
  <w:style w:type="character" w:customStyle="1" w:styleId="29">
    <w:name w:val="批注框文本 Char"/>
    <w:basedOn w:val="14"/>
    <w:link w:val="7"/>
    <w:semiHidden/>
    <w:qFormat/>
    <w:uiPriority w:val="99"/>
    <w:rPr>
      <w:rFonts w:ascii="Times New Roman" w:hAnsi="Times New Roman"/>
      <w:kern w:val="2"/>
      <w:sz w:val="18"/>
      <w:szCs w:val="18"/>
    </w:rPr>
  </w:style>
  <w:style w:type="character" w:customStyle="1" w:styleId="30">
    <w:name w:val="标题 3 Char"/>
    <w:basedOn w:val="14"/>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51" textRotate="1"/>
    <customShpInfo spid="_x0000_s2049" textRotate="1"/>
    <customShpInfo spid="_x0000_s2054" textRotate="1"/>
    <customShpInfo spid="_x0000_s2055" textRotate="1"/>
    <customShpInfo spid="_x0000_s2056" textRotate="1"/>
    <customShpInfo spid="_x0000_s2052" textRotate="1"/>
    <customShpInfo spid="_x0000_s205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2020-09-25T07:17:00Z</cp:lastPrinted>
  <dcterms:modified xsi:type="dcterms:W3CDTF">2021-05-22T03:20:28Z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AE87E126FE7545F1A94488F2BB872B3D</vt:lpwstr>
  </property>
</Properties>
</file>